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0EFB" w:rsidRPr="006B49FA" w:rsidRDefault="003A0EFB" w:rsidP="006B49FA">
      <w:pPr>
        <w:jc w:val="center"/>
        <w:rPr>
          <w:b/>
          <w:szCs w:val="28"/>
        </w:rPr>
      </w:pPr>
    </w:p>
    <w:p w:rsidR="003A18EB" w:rsidRPr="001C357F" w:rsidRDefault="00AD124B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31.08.2021</w:t>
      </w:r>
      <w:r w:rsidR="003A18EB">
        <w:rPr>
          <w:szCs w:val="28"/>
        </w:rPr>
        <w:t>№</w:t>
      </w:r>
      <w:r>
        <w:rPr>
          <w:szCs w:val="28"/>
          <w:u w:val="single"/>
        </w:rPr>
        <w:t>571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3A18EB" w:rsidRDefault="009A3F25" w:rsidP="003A18EB">
      <w:pPr>
        <w:ind w:firstLine="0"/>
        <w:jc w:val="both"/>
        <w:rPr>
          <w:color w:val="000000"/>
          <w:szCs w:val="28"/>
        </w:rPr>
      </w:pPr>
      <w:r w:rsidRPr="009A3F25">
        <w:rPr>
          <w:noProof/>
          <w:lang w:eastAsia="ru-RU"/>
        </w:rPr>
        <w:pict>
          <v:rect id="Rectangle 2" o:spid="_x0000_s1026" style="position:absolute;left:0;text-align:left;margin-left:-6.4pt;margin-top:4.25pt;width:29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>
              <w:txbxContent>
                <w:p w:rsidR="0007612E" w:rsidRDefault="0007612E" w:rsidP="003A18EB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3B00D6">
                    <w:rPr>
                      <w:color w:val="000000"/>
                      <w:szCs w:val="28"/>
                    </w:rPr>
                    <w:t>О внесении изменений в п</w:t>
                  </w:r>
                  <w:r>
                    <w:rPr>
                      <w:color w:val="000000"/>
                      <w:szCs w:val="28"/>
                    </w:rPr>
                    <w:t>остановление администрации № 683 от 11.11.2020 (с изменениями</w:t>
                  </w:r>
                  <w:r w:rsidRPr="00F70CBC">
                    <w:rPr>
                      <w:color w:val="000000"/>
                      <w:szCs w:val="28"/>
                    </w:rPr>
                    <w:t>)</w:t>
                  </w:r>
                  <w:r>
                    <w:rPr>
                      <w:rFonts w:cs="Times New Roman"/>
                      <w:bCs/>
                      <w:szCs w:val="28"/>
                    </w:rPr>
                    <w:t>.</w:t>
                  </w:r>
                </w:p>
                <w:p w:rsidR="0007612E" w:rsidRDefault="0007612E" w:rsidP="003A18EB">
                  <w:pPr>
                    <w:ind w:firstLine="0"/>
                  </w:pPr>
                </w:p>
              </w:txbxContent>
            </v:textbox>
          </v:rect>
        </w:pic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F70CBC" w:rsidRDefault="00F70CBC" w:rsidP="003A18EB">
      <w:pPr>
        <w:jc w:val="both"/>
        <w:rPr>
          <w:color w:val="000000"/>
          <w:szCs w:val="28"/>
        </w:rPr>
      </w:pPr>
    </w:p>
    <w:p w:rsidR="00417344" w:rsidRDefault="00417344" w:rsidP="009B0E7D">
      <w:pPr>
        <w:jc w:val="both"/>
        <w:rPr>
          <w:color w:val="000000"/>
          <w:szCs w:val="28"/>
        </w:rPr>
      </w:pPr>
    </w:p>
    <w:p w:rsidR="009B0E7D" w:rsidRPr="009B0E7D" w:rsidRDefault="009B0E7D" w:rsidP="009B0E7D">
      <w:pPr>
        <w:jc w:val="both"/>
        <w:rPr>
          <w:color w:val="000000"/>
          <w:szCs w:val="28"/>
        </w:rPr>
      </w:pPr>
      <w:r w:rsidRPr="009B0E7D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3A18EB" w:rsidRDefault="003A18EB" w:rsidP="00510F1A">
      <w:pPr>
        <w:jc w:val="both"/>
        <w:rPr>
          <w:color w:val="000000"/>
          <w:szCs w:val="28"/>
        </w:rPr>
      </w:pPr>
      <w:r w:rsidRPr="002B60B8">
        <w:rPr>
          <w:color w:val="FF0000"/>
          <w:szCs w:val="28"/>
        </w:rPr>
        <w:t xml:space="preserve"> 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3A18EB">
      <w:pPr>
        <w:ind w:firstLine="0"/>
        <w:jc w:val="both"/>
        <w:rPr>
          <w:color w:val="000000"/>
          <w:szCs w:val="28"/>
        </w:rPr>
      </w:pPr>
    </w:p>
    <w:p w:rsidR="00986CF1" w:rsidRPr="00986CF1" w:rsidRDefault="00986CF1" w:rsidP="00986CF1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986CF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683</w:t>
      </w:r>
      <w:r w:rsidRPr="00986CF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986CF1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986CF1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95448B">
        <w:rPr>
          <w:color w:val="000000"/>
          <w:szCs w:val="28"/>
        </w:rPr>
        <w:t xml:space="preserve"> (далее Программа)</w:t>
      </w:r>
      <w:r w:rsidRPr="00986CF1">
        <w:rPr>
          <w:color w:val="000000"/>
          <w:szCs w:val="28"/>
        </w:rPr>
        <w:t xml:space="preserve"> следующие изменения:  </w:t>
      </w:r>
    </w:p>
    <w:p w:rsidR="00986CF1" w:rsidRDefault="00986CF1" w:rsidP="00510F1A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приложению, к настоящему постановлению.</w:t>
      </w:r>
    </w:p>
    <w:p w:rsidR="003A18EB" w:rsidRDefault="00986CF1" w:rsidP="00510F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 </w:t>
      </w:r>
      <w:r w:rsidR="003A18EB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A18EB" w:rsidRDefault="003A18EB" w:rsidP="003A18E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  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6B49FA" w:rsidRDefault="006B49FA" w:rsidP="003A18EB">
      <w:pPr>
        <w:ind w:firstLine="0"/>
        <w:jc w:val="both"/>
        <w:rPr>
          <w:color w:val="000000"/>
          <w:szCs w:val="28"/>
        </w:rPr>
      </w:pPr>
    </w:p>
    <w:p w:rsidR="00510F1A" w:rsidRPr="00F70CBC" w:rsidRDefault="006B49FA" w:rsidP="00BF3A13">
      <w:pPr>
        <w:ind w:firstLine="0"/>
        <w:jc w:val="both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Pr="00BF3A13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B700CF" w:rsidRDefault="003814FF" w:rsidP="003814FF">
      <w:pPr>
        <w:ind w:left="4536" w:firstLine="0"/>
        <w:jc w:val="center"/>
        <w:rPr>
          <w:b/>
          <w:bCs/>
          <w:kern w:val="36"/>
          <w:szCs w:val="28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AD124B">
        <w:rPr>
          <w:szCs w:val="28"/>
          <w:u w:val="single"/>
        </w:rPr>
        <w:t>571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r w:rsidR="00AD124B">
        <w:rPr>
          <w:szCs w:val="28"/>
          <w:u w:val="single"/>
        </w:rPr>
        <w:t>31.08.2021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3A0EFB" w:rsidRDefault="003A0EFB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r w:rsidR="00510F1A">
        <w:t>1</w:t>
      </w:r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 xml:space="preserve">2021-2023 </w:t>
            </w:r>
            <w:r w:rsidR="00C4067F" w:rsidRPr="00D9393E">
              <w:t>год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организация благоустройства территорий МО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, находящиеся в населенных пунктах д. Разметелево, д. Хапо-Ое, д. Старая, п. Воейково;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детские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9B0E7D" w:rsidRPr="00850234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2021 год составляет </w:t>
            </w:r>
            <w:r w:rsidR="00795F16" w:rsidRPr="00795F1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27 987 588,26</w:t>
            </w:r>
            <w:r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850234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9B0E7D" w:rsidRPr="00A50643" w:rsidRDefault="009B0E7D" w:rsidP="00CE7D46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795F16" w:rsidRPr="00795F1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25 619 588,26</w:t>
            </w: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2 368 000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24 012 03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10 000 03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9 284 40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9 000 00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</w:t>
            </w:r>
            <w:bookmarkStart w:id="0" w:name="_GoBack"/>
            <w:bookmarkEnd w:id="0"/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C4067F" w:rsidRPr="000B1DA2" w:rsidRDefault="00C4067F" w:rsidP="00DF3614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lastRenderedPageBreak/>
              <w:t>- сокращение площади территорий, засоренных борщевиком Сосновского.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97,2727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Детские площадки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92B4D">
              <w:rPr>
                <w:rFonts w:cs="Times New Roman"/>
                <w:sz w:val="20"/>
                <w:szCs w:val="20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4747" w:type="dxa"/>
        <w:tblInd w:w="-34" w:type="dxa"/>
        <w:tblLook w:val="04A0"/>
      </w:tblPr>
      <w:tblGrid>
        <w:gridCol w:w="497"/>
        <w:gridCol w:w="3075"/>
        <w:gridCol w:w="1578"/>
        <w:gridCol w:w="1825"/>
        <w:gridCol w:w="1366"/>
        <w:gridCol w:w="1753"/>
        <w:gridCol w:w="1346"/>
        <w:gridCol w:w="1772"/>
        <w:gridCol w:w="1677"/>
      </w:tblGrid>
      <w:tr w:rsidR="00DE03A3" w:rsidRPr="009A746B" w:rsidTr="00DE03A3">
        <w:trPr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A3" w:rsidRPr="009A746B" w:rsidRDefault="00DE03A3" w:rsidP="00EF742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71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DE03A3" w:rsidRPr="009A746B" w:rsidTr="00DE03A3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03A3" w:rsidRPr="009A746B" w:rsidTr="00DE03A3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03A3" w:rsidRPr="009A746B" w:rsidTr="00DE03A3">
        <w:trPr>
          <w:trHeight w:val="9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3A3" w:rsidRPr="009A746B" w:rsidTr="00DE03A3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3A3" w:rsidRPr="009A746B" w:rsidTr="00DE03A3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t>в населенных пунктах МО Колтушское 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3A3" w:rsidRPr="009A746B" w:rsidTr="00DE03A3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A3" w:rsidRPr="009A746B" w:rsidRDefault="00DE03A3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40CA3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оборудования спортивной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скейт-площадки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в дер. Колтуши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3A3" w:rsidRPr="009A746B" w:rsidTr="00DE03A3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 xml:space="preserve">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9A746B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9A746B">
              <w:rPr>
                <w:rFonts w:cs="Times New Roman"/>
                <w:sz w:val="18"/>
                <w:szCs w:val="18"/>
                <w:lang w:eastAsia="ru-RU"/>
              </w:rPr>
              <w:t xml:space="preserve">, д.Старая, </w:t>
            </w:r>
            <w:proofErr w:type="spellStart"/>
            <w:r w:rsidRPr="009A746B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A3" w:rsidRPr="009A746B" w:rsidRDefault="00DE03A3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E03A3" w:rsidRPr="009A746B" w:rsidTr="00DE03A3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A3" w:rsidRPr="009A746B" w:rsidRDefault="00DE03A3" w:rsidP="006C62C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аботы по проведению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мероприятий по уничтожению борщевика Сосновского химическим способом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65 326,37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751204, 00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32074,09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379 800,00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23778,43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A3" w:rsidRPr="009A746B" w:rsidRDefault="00DE03A3" w:rsidP="00241F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284 400,00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84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A3" w:rsidRPr="009A746B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</w:t>
            </w:r>
            <w:r w:rsidRPr="009A746B">
              <w:rPr>
                <w:rFonts w:cs="Times New Roman"/>
                <w:sz w:val="18"/>
                <w:szCs w:val="18"/>
                <w:lang w:eastAsia="ru-RU"/>
              </w:rPr>
              <w:t>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4 895,63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56296,00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A3" w:rsidRPr="009A746B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3A3" w:rsidRPr="009A746B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9A746B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382415"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382415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0E008E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382415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ремонту контейнерных площадок находящихся в собственности МО 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Колтушское 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lastRenderedPageBreak/>
              <w:t>204 000,00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382415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600 000,00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382415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Поставка садово-парковых диванов и урн в населенные пункты на территории МО Колтушское 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451 560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0E008E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товаров,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0E008E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125280,63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0E008E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0E008E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искусственного покрытия на спортивной (футбольной) площадке в д. Хапо-Ое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1 690 900,00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оборудования детской площадки в п. Воейково у ДК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1 700 000,00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оборудования спортивной площадки в п. Воейково у ДК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1 430 607,00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Организация парковой зоны д.Колтуши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92 114,00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1 059 300,00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Ликвидация несанкционированной свалки в 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>д. Разметелево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 xml:space="preserve"> 23-24 км автодороги М-18 «Кола» кадастровый номер: 47:07:1047005:213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43 583,00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501200,00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1 185 449,00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05736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13632200,00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 в д. Мяглово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241FA1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детской площадки в д. Старая Пустошь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основания для детской площадки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Мяглово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 Пустошь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850 000,00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Мяглово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650 000,00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23353F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706 854,63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Default="00DE03A3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772164" w:rsidRDefault="00DE03A3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Поставка и установка игрового и спортивного детского оборудования и ограждение детской площадки в д. Мяглово, Всеволожского района Ленинградской области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2178335,00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772164" w:rsidRDefault="00DE03A3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сносу, погрузке и вывозу несанкционированных строений (сараи, гаражи) находящихся по адресу: Ленинградская область, Всеволожский район в д. Хапо-Ое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A06939" w:rsidRDefault="00DE03A3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772164" w:rsidRDefault="00DE03A3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Устройство детской площадки по ПДД включая элементы МЧС (д. Старая, ул. Верхняя, 5С)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A06939" w:rsidRDefault="00DE03A3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1787020,00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772164" w:rsidRDefault="00DE03A3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Выполнение работ по устройству резинового покрытия на детской площадке в деревне Старая (5С)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деревне Куйворы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A06939" w:rsidRDefault="00DE03A3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2043900,00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772164" w:rsidRDefault="00DE03A3" w:rsidP="0085023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CE7D46"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детской игровой площадки  в </w:t>
            </w:r>
            <w:proofErr w:type="spellStart"/>
            <w:r w:rsidRPr="00CE7D46">
              <w:rPr>
                <w:rFonts w:cs="Times New Roman"/>
                <w:sz w:val="18"/>
                <w:szCs w:val="18"/>
                <w:lang w:eastAsia="ru-RU"/>
              </w:rPr>
              <w:t>д.Аро</w:t>
            </w:r>
            <w:proofErr w:type="spellEnd"/>
            <w:r w:rsidRPr="00CE7D46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7D46">
              <w:rPr>
                <w:rFonts w:cs="Times New Roman"/>
                <w:sz w:val="18"/>
                <w:szCs w:val="18"/>
                <w:lang w:eastAsia="ru-RU"/>
              </w:rPr>
              <w:t>д.Тавры</w:t>
            </w:r>
            <w:proofErr w:type="spellEnd"/>
            <w:r w:rsidRPr="00CE7D46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7D46">
              <w:rPr>
                <w:rFonts w:cs="Times New Roman"/>
                <w:sz w:val="18"/>
                <w:szCs w:val="18"/>
                <w:lang w:eastAsia="ru-RU"/>
              </w:rPr>
              <w:t>д.Токкари</w:t>
            </w:r>
            <w:proofErr w:type="spellEnd"/>
            <w:r w:rsidRPr="00CE7D46">
              <w:rPr>
                <w:rFonts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CE7D46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A06939" w:rsidRDefault="00DE03A3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7710089,26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772164" w:rsidRDefault="00DE03A3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детской площадки </w:t>
            </w:r>
            <w:proofErr w:type="spellStart"/>
            <w:r w:rsidRPr="00772164">
              <w:rPr>
                <w:rFonts w:cs="Times New Roman"/>
                <w:sz w:val="18"/>
                <w:szCs w:val="18"/>
                <w:lang w:eastAsia="ru-RU"/>
              </w:rPr>
              <w:t>д.Колтуши</w:t>
            </w:r>
            <w:proofErr w:type="spellEnd"/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 (основание, </w:t>
            </w:r>
            <w:r>
              <w:rPr>
                <w:rFonts w:cs="Times New Roman"/>
                <w:sz w:val="18"/>
                <w:szCs w:val="18"/>
                <w:lang w:eastAsia="ru-RU"/>
              </w:rPr>
              <w:t>перенос оборудования</w:t>
            </w:r>
            <w:r w:rsidRPr="00772164">
              <w:rPr>
                <w:rFonts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A06939" w:rsidRDefault="00DE03A3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A3" w:rsidRPr="00A06939" w:rsidRDefault="00DE03A3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A3" w:rsidRDefault="00DE03A3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3A3" w:rsidRPr="002E08CF" w:rsidRDefault="00DE03A3" w:rsidP="001051FE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772164" w:rsidRDefault="00DE03A3" w:rsidP="001051F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84488"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спортивной и детской площадки в п. Воейково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A06939" w:rsidRDefault="00DE03A3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569 393,00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1051FE" w:rsidRDefault="00DE03A3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610F20" w:rsidRDefault="00DE03A3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1051FE" w:rsidRDefault="00DE03A3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A3" w:rsidRPr="001051FE" w:rsidRDefault="00DE03A3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A3" w:rsidRDefault="00DE03A3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3A3" w:rsidRDefault="00DE03A3" w:rsidP="001051FE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3A3" w:rsidRPr="009A746B" w:rsidTr="00DE03A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3A3" w:rsidRDefault="00DE03A3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E03A3" w:rsidRPr="009A746B" w:rsidRDefault="00DE03A3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25619588,26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2 368 000,00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10 000 033,16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14 012 000,00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9 000 002,43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A3" w:rsidRPr="009A746B" w:rsidRDefault="00DE03A3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284 400,00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A3" w:rsidRPr="009A746B" w:rsidRDefault="00DE03A3" w:rsidP="001051FE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</w:t>
      </w:r>
      <w:r w:rsidR="00A84729">
        <w:rPr>
          <w:rFonts w:cs="Times New Roman"/>
          <w:szCs w:val="28"/>
          <w:lang w:eastAsia="ru-RU"/>
        </w:rPr>
        <w:t xml:space="preserve">, </w:t>
      </w:r>
      <w:r w:rsidR="00A84729" w:rsidRPr="00756085">
        <w:rPr>
          <w:rFonts w:cs="Times New Roman"/>
          <w:szCs w:val="28"/>
          <w:lang w:eastAsia="ru-RU"/>
        </w:rPr>
        <w:t>№ 646 от 02.11.2020</w:t>
      </w:r>
      <w:r w:rsidRPr="000E0FBB">
        <w:rPr>
          <w:rFonts w:cs="Times New Roman"/>
          <w:szCs w:val="28"/>
          <w:lang w:eastAsia="ru-RU"/>
        </w:rPr>
        <w:t xml:space="preserve">). 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DF" w:rsidRDefault="006D26DF" w:rsidP="00D9097B">
      <w:r>
        <w:separator/>
      </w:r>
    </w:p>
  </w:endnote>
  <w:endnote w:type="continuationSeparator" w:id="0">
    <w:p w:rsidR="006D26DF" w:rsidRDefault="006D26DF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2E" w:rsidRDefault="000761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DF" w:rsidRDefault="006D26DF" w:rsidP="00D9097B">
      <w:r>
        <w:separator/>
      </w:r>
    </w:p>
  </w:footnote>
  <w:footnote w:type="continuationSeparator" w:id="0">
    <w:p w:rsidR="006D26DF" w:rsidRDefault="006D26DF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452BF"/>
    <w:rsid w:val="000507DF"/>
    <w:rsid w:val="000545C1"/>
    <w:rsid w:val="0005736E"/>
    <w:rsid w:val="000701DA"/>
    <w:rsid w:val="00071128"/>
    <w:rsid w:val="000719CA"/>
    <w:rsid w:val="000747C0"/>
    <w:rsid w:val="0007612E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6CED"/>
    <w:rsid w:val="000D70F5"/>
    <w:rsid w:val="000E008E"/>
    <w:rsid w:val="000E0A61"/>
    <w:rsid w:val="000E0FBB"/>
    <w:rsid w:val="000E783F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43775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745A7"/>
    <w:rsid w:val="00281074"/>
    <w:rsid w:val="00281483"/>
    <w:rsid w:val="00281CFE"/>
    <w:rsid w:val="00283BEB"/>
    <w:rsid w:val="00286334"/>
    <w:rsid w:val="00287FE1"/>
    <w:rsid w:val="00292801"/>
    <w:rsid w:val="00292B4D"/>
    <w:rsid w:val="002934BC"/>
    <w:rsid w:val="00293981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831"/>
    <w:rsid w:val="002E5EBB"/>
    <w:rsid w:val="002E6971"/>
    <w:rsid w:val="002E7AD3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96A"/>
    <w:rsid w:val="003E4030"/>
    <w:rsid w:val="00401F89"/>
    <w:rsid w:val="00402ACE"/>
    <w:rsid w:val="00403021"/>
    <w:rsid w:val="0040687F"/>
    <w:rsid w:val="0040738A"/>
    <w:rsid w:val="00413FA4"/>
    <w:rsid w:val="00417344"/>
    <w:rsid w:val="0042030C"/>
    <w:rsid w:val="00423E5F"/>
    <w:rsid w:val="00433F2B"/>
    <w:rsid w:val="00434153"/>
    <w:rsid w:val="00440CA3"/>
    <w:rsid w:val="00441AB2"/>
    <w:rsid w:val="00443103"/>
    <w:rsid w:val="00456680"/>
    <w:rsid w:val="00461990"/>
    <w:rsid w:val="00462374"/>
    <w:rsid w:val="00462DD4"/>
    <w:rsid w:val="0046499A"/>
    <w:rsid w:val="00473914"/>
    <w:rsid w:val="00484488"/>
    <w:rsid w:val="004A6932"/>
    <w:rsid w:val="004B3F44"/>
    <w:rsid w:val="004B5558"/>
    <w:rsid w:val="004C01E8"/>
    <w:rsid w:val="004C11D7"/>
    <w:rsid w:val="004C1BA7"/>
    <w:rsid w:val="004C50FD"/>
    <w:rsid w:val="004D2E41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6DCD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4809"/>
    <w:rsid w:val="00677168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26DF"/>
    <w:rsid w:val="006D3E27"/>
    <w:rsid w:val="006E0B45"/>
    <w:rsid w:val="006E2F27"/>
    <w:rsid w:val="006E4A32"/>
    <w:rsid w:val="006F30B7"/>
    <w:rsid w:val="006F52E2"/>
    <w:rsid w:val="007010ED"/>
    <w:rsid w:val="00712FF8"/>
    <w:rsid w:val="0071344E"/>
    <w:rsid w:val="00715A97"/>
    <w:rsid w:val="00717C9E"/>
    <w:rsid w:val="00720E6D"/>
    <w:rsid w:val="00720ED4"/>
    <w:rsid w:val="00731732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8257F"/>
    <w:rsid w:val="007904B2"/>
    <w:rsid w:val="00790A32"/>
    <w:rsid w:val="0079125B"/>
    <w:rsid w:val="00792E3D"/>
    <w:rsid w:val="00795F16"/>
    <w:rsid w:val="007A52AD"/>
    <w:rsid w:val="007A6E56"/>
    <w:rsid w:val="007A7D74"/>
    <w:rsid w:val="007B48BA"/>
    <w:rsid w:val="007B6809"/>
    <w:rsid w:val="007C4FC0"/>
    <w:rsid w:val="007C5487"/>
    <w:rsid w:val="007C6638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335A0"/>
    <w:rsid w:val="0084130C"/>
    <w:rsid w:val="0084248E"/>
    <w:rsid w:val="00847EE6"/>
    <w:rsid w:val="00850234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3F25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24C5"/>
    <w:rsid w:val="009F6094"/>
    <w:rsid w:val="00A06939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6CAC"/>
    <w:rsid w:val="00A92263"/>
    <w:rsid w:val="00AA2225"/>
    <w:rsid w:val="00AA53E4"/>
    <w:rsid w:val="00AA5584"/>
    <w:rsid w:val="00AB4B68"/>
    <w:rsid w:val="00AC35F6"/>
    <w:rsid w:val="00AD124B"/>
    <w:rsid w:val="00AD182B"/>
    <w:rsid w:val="00AE08C2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1BA5"/>
    <w:rsid w:val="00C239C4"/>
    <w:rsid w:val="00C2767C"/>
    <w:rsid w:val="00C27D9E"/>
    <w:rsid w:val="00C33AEE"/>
    <w:rsid w:val="00C35C73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A24F5"/>
    <w:rsid w:val="00CA60AC"/>
    <w:rsid w:val="00CB201F"/>
    <w:rsid w:val="00CC0425"/>
    <w:rsid w:val="00CC2F7C"/>
    <w:rsid w:val="00CD7AE9"/>
    <w:rsid w:val="00CE1B63"/>
    <w:rsid w:val="00CE64B5"/>
    <w:rsid w:val="00CE7D46"/>
    <w:rsid w:val="00CF0A89"/>
    <w:rsid w:val="00CF1F4C"/>
    <w:rsid w:val="00CF27A7"/>
    <w:rsid w:val="00CF2CC2"/>
    <w:rsid w:val="00CF4DCB"/>
    <w:rsid w:val="00D03121"/>
    <w:rsid w:val="00D045DA"/>
    <w:rsid w:val="00D0629C"/>
    <w:rsid w:val="00D102AE"/>
    <w:rsid w:val="00D14F5F"/>
    <w:rsid w:val="00D17348"/>
    <w:rsid w:val="00D2002B"/>
    <w:rsid w:val="00D21C85"/>
    <w:rsid w:val="00D26F02"/>
    <w:rsid w:val="00D301C4"/>
    <w:rsid w:val="00D33702"/>
    <w:rsid w:val="00D3722E"/>
    <w:rsid w:val="00D44A3C"/>
    <w:rsid w:val="00D46BB4"/>
    <w:rsid w:val="00D529FE"/>
    <w:rsid w:val="00D60F7F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03A3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96A"/>
    <w:rsid w:val="00EB2FB2"/>
    <w:rsid w:val="00EB7059"/>
    <w:rsid w:val="00EC0F62"/>
    <w:rsid w:val="00ED70AE"/>
    <w:rsid w:val="00EF3767"/>
    <w:rsid w:val="00EF6882"/>
    <w:rsid w:val="00EF7429"/>
    <w:rsid w:val="00F30158"/>
    <w:rsid w:val="00F349AD"/>
    <w:rsid w:val="00F350C1"/>
    <w:rsid w:val="00F43119"/>
    <w:rsid w:val="00F44B4D"/>
    <w:rsid w:val="00F44DD0"/>
    <w:rsid w:val="00F4649E"/>
    <w:rsid w:val="00F50C02"/>
    <w:rsid w:val="00F565B6"/>
    <w:rsid w:val="00F61B97"/>
    <w:rsid w:val="00F664F4"/>
    <w:rsid w:val="00F70CBC"/>
    <w:rsid w:val="00F74D11"/>
    <w:rsid w:val="00F76E1A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6B6B-C7B4-4AA8-82BA-5F77C8A4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2021-07-14T08:42:00Z</cp:lastPrinted>
  <dcterms:created xsi:type="dcterms:W3CDTF">2021-08-31T09:42:00Z</dcterms:created>
  <dcterms:modified xsi:type="dcterms:W3CDTF">2021-08-31T09:42:00Z</dcterms:modified>
</cp:coreProperties>
</file>