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7E74D0">
      <w:pPr>
        <w:ind w:left="426" w:firstLine="0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0E35C7" w:rsidP="00050961">
      <w:pPr>
        <w:ind w:firstLine="142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27.08.2020</w:t>
      </w:r>
      <w:r w:rsidR="00D24692">
        <w:rPr>
          <w:color w:val="000000"/>
          <w:szCs w:val="28"/>
        </w:rPr>
        <w:t>№</w:t>
      </w:r>
      <w:r w:rsidR="00C65B93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451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5A" w:rsidRDefault="005D515A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5D515A" w:rsidRPr="00271C38" w:rsidRDefault="005D515A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D515A" w:rsidRDefault="005D515A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7B0FA1"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5D515A" w:rsidRDefault="005D515A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5D515A" w:rsidRPr="00271C38" w:rsidRDefault="005D515A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D515A" w:rsidRDefault="005D515A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697742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697742">
          <w:pgSz w:w="11906" w:h="16838"/>
          <w:pgMar w:top="360" w:right="851" w:bottom="18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7714F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7E74D0">
        <w:rPr>
          <w:sz w:val="26"/>
          <w:szCs w:val="26"/>
        </w:rPr>
        <w:t xml:space="preserve"> </w:t>
      </w:r>
      <w:r w:rsidR="000E35C7">
        <w:rPr>
          <w:sz w:val="26"/>
          <w:szCs w:val="26"/>
        </w:rPr>
        <w:t>451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0E35C7">
        <w:rPr>
          <w:sz w:val="26"/>
          <w:szCs w:val="26"/>
        </w:rPr>
        <w:t>27.08.</w:t>
      </w:r>
      <w:bookmarkStart w:id="0" w:name="_GoBack"/>
      <w:bookmarkEnd w:id="0"/>
      <w:r w:rsidR="005B671B">
        <w:rPr>
          <w:sz w:val="26"/>
          <w:szCs w:val="26"/>
        </w:rPr>
        <w:t>2020</w:t>
      </w:r>
    </w:p>
    <w:p w:rsidR="00E0169F" w:rsidRDefault="005B671B" w:rsidP="005B671B">
      <w:pPr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900AB3" w:rsidRPr="00CA30AE" w:rsidRDefault="00900AB3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8573C0">
              <w:rPr>
                <w:rFonts w:cs="Times New Roman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  <w:r>
              <w:rPr>
                <w:rFonts w:cs="Times New Roman"/>
                <w:sz w:val="24"/>
                <w:szCs w:val="24"/>
                <w:lang w:eastAsia="ru-RU"/>
              </w:rPr>
              <w:t>, кол-во раз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>48 821 568,76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16 490 572,00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="00FE184B">
        <w:rPr>
          <w:rFonts w:cs="Times New Roman"/>
          <w:b/>
          <w:sz w:val="24"/>
          <w:szCs w:val="24"/>
        </w:rPr>
        <w:t>8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272AE1" w:rsidRDefault="00272AE1" w:rsidP="00122D85">
      <w:pPr>
        <w:ind w:firstLine="0"/>
        <w:jc w:val="both"/>
        <w:rPr>
          <w:sz w:val="24"/>
        </w:rPr>
      </w:pPr>
      <w:r w:rsidRPr="00C433E7">
        <w:rPr>
          <w:rFonts w:cs="Times New Roman"/>
          <w:sz w:val="24"/>
          <w:szCs w:val="24"/>
        </w:rPr>
        <w:t>3. Повышение надежности работы</w:t>
      </w:r>
      <w:r w:rsidR="00D46F85" w:rsidRPr="00C433E7">
        <w:rPr>
          <w:rFonts w:cs="Times New Roman"/>
          <w:sz w:val="24"/>
          <w:szCs w:val="24"/>
        </w:rPr>
        <w:t xml:space="preserve"> системы </w:t>
      </w:r>
      <w:r w:rsidR="00D46F85" w:rsidRPr="00C433E7">
        <w:rPr>
          <w:sz w:val="24"/>
        </w:rPr>
        <w:t>гидроизоляции и отведения поверхностных вод административного здания – 1 объект;</w:t>
      </w:r>
    </w:p>
    <w:p w:rsidR="00900AB3" w:rsidRPr="00C433E7" w:rsidRDefault="00900AB3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 xml:space="preserve">4. </w:t>
      </w:r>
      <w:r w:rsidRPr="008573C0">
        <w:rPr>
          <w:rFonts w:cs="Times New Roman"/>
          <w:sz w:val="24"/>
          <w:szCs w:val="24"/>
          <w:lang w:eastAsia="ru-RU"/>
        </w:rPr>
        <w:t>Актуализация схемы водоснабжения и водоотведения МО Колтушское СП</w:t>
      </w:r>
      <w:r>
        <w:rPr>
          <w:rFonts w:cs="Times New Roman"/>
          <w:sz w:val="24"/>
          <w:szCs w:val="24"/>
          <w:lang w:eastAsia="ru-RU"/>
        </w:rPr>
        <w:t xml:space="preserve"> – </w:t>
      </w:r>
      <w:r w:rsidRPr="00900AB3">
        <w:rPr>
          <w:rFonts w:cs="Times New Roman"/>
          <w:b/>
          <w:sz w:val="24"/>
          <w:szCs w:val="24"/>
          <w:lang w:eastAsia="ru-RU"/>
        </w:rPr>
        <w:t>1 раз в год.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Pr="00C433E7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Актуализация схемы теплоснабжения МО Колтушское СП, </w:t>
      </w:r>
      <w:r w:rsidR="00A91ED9" w:rsidRPr="00C433E7">
        <w:rPr>
          <w:rFonts w:eastAsia="Calibri"/>
          <w:b/>
          <w:sz w:val="22"/>
        </w:rPr>
        <w:t>согласно регламенту – 1 раз в год.</w:t>
      </w:r>
    </w:p>
    <w:p w:rsidR="00E06A03" w:rsidRPr="00C433E7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Проверка на соответствие требованиям Российского законодательства и нормативным документам сметной документации</w:t>
      </w:r>
      <w:r w:rsidRPr="00C433E7">
        <w:rPr>
          <w:rFonts w:eastAsia="Calibri"/>
          <w:b/>
          <w:sz w:val="22"/>
        </w:rPr>
        <w:t xml:space="preserve"> – 2 объекта в год;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C433E7">
        <w:rPr>
          <w:b/>
        </w:rPr>
        <w:t>1 объект</w:t>
      </w:r>
      <w:r w:rsidRPr="00C433E7">
        <w:t>;</w:t>
      </w:r>
    </w:p>
    <w:p w:rsidR="00E06A03" w:rsidRPr="00C433E7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Получение паспорта готовности МО Колтушское СП к очередному отопительному зимнему периоду.</w:t>
      </w:r>
    </w:p>
    <w:p w:rsidR="00272AE1" w:rsidRPr="00C433E7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1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Повышение надежности работы системы теплоснабжения в населенных пунктах МО Колтушское СП – </w:t>
      </w:r>
      <w:r w:rsidRPr="00C433E7">
        <w:rPr>
          <w:b/>
        </w:rPr>
        <w:t>1 объект;</w:t>
      </w:r>
    </w:p>
    <w:p w:rsidR="00A91ED9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Pr="00C433E7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t xml:space="preserve"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</w:t>
      </w:r>
      <w:r w:rsidRPr="00C433E7">
        <w:rPr>
          <w:b/>
        </w:rPr>
        <w:t>5%</w:t>
      </w:r>
    </w:p>
    <w:p w:rsidR="009F189B" w:rsidRPr="00C433E7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rPr>
          <w:iCs/>
        </w:rPr>
        <w:t xml:space="preserve">Строительство распределительного газопровода в населенных пунктах </w:t>
      </w:r>
      <w:r w:rsidRPr="00C433E7">
        <w:t>на</w:t>
      </w:r>
      <w:r w:rsidRPr="00C433E7">
        <w:rPr>
          <w:bCs/>
        </w:rPr>
        <w:t xml:space="preserve"> территории МО Колтушское СП в соответствии с </w:t>
      </w:r>
      <w:r w:rsidRPr="00C433E7">
        <w:t>проектной документацией</w:t>
      </w:r>
      <w:r w:rsidRPr="00C433E7">
        <w:rPr>
          <w:bCs/>
        </w:rPr>
        <w:t xml:space="preserve"> – </w:t>
      </w:r>
      <w:r w:rsidRPr="00C433E7">
        <w:rPr>
          <w:b/>
          <w:bCs/>
        </w:rPr>
        <w:t>2 объекта в год;</w:t>
      </w:r>
    </w:p>
    <w:p w:rsidR="00122D85" w:rsidRPr="00C433E7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C433E7">
        <w:rPr>
          <w:rFonts w:cs="Times New Roman"/>
          <w:sz w:val="24"/>
          <w:szCs w:val="24"/>
        </w:rPr>
        <w:t xml:space="preserve">газоснабжения – </w:t>
      </w:r>
      <w:r w:rsidR="00A91ED9" w:rsidRPr="00C433E7">
        <w:rPr>
          <w:rFonts w:cs="Times New Roman"/>
          <w:b/>
          <w:sz w:val="24"/>
          <w:szCs w:val="24"/>
        </w:rPr>
        <w:t>3 объекта в год</w:t>
      </w:r>
      <w:r w:rsidR="009F189B" w:rsidRPr="00C433E7">
        <w:rPr>
          <w:rFonts w:cs="Times New Roman"/>
          <w:b/>
          <w:sz w:val="24"/>
          <w:szCs w:val="24"/>
        </w:rPr>
        <w:t>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C433E7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 w:rsidRPr="00C433E7">
        <w:rPr>
          <w:rFonts w:cs="Times New Roman"/>
          <w:sz w:val="24"/>
          <w:szCs w:val="24"/>
        </w:rPr>
        <w:t xml:space="preserve"> - </w:t>
      </w:r>
      <w:r w:rsidR="00A203BA" w:rsidRPr="00C433E7">
        <w:rPr>
          <w:rFonts w:cs="Times New Roman"/>
          <w:b/>
          <w:sz w:val="24"/>
          <w:szCs w:val="24"/>
        </w:rPr>
        <w:t>15</w:t>
      </w:r>
      <w:r w:rsidRPr="00C433E7">
        <w:rPr>
          <w:rFonts w:cs="Times New Roman"/>
          <w:b/>
          <w:sz w:val="24"/>
          <w:szCs w:val="24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 w:rsidRPr="00C433E7">
        <w:rPr>
          <w:rFonts w:cs="Times New Roman"/>
          <w:b/>
          <w:sz w:val="24"/>
          <w:szCs w:val="24"/>
        </w:rPr>
        <w:t>2</w:t>
      </w:r>
      <w:r w:rsidR="001A10E5" w:rsidRPr="00C433E7">
        <w:rPr>
          <w:rFonts w:cs="Times New Roman"/>
          <w:b/>
          <w:sz w:val="24"/>
          <w:szCs w:val="24"/>
        </w:rPr>
        <w:t xml:space="preserve">. </w:t>
      </w:r>
      <w:r w:rsidR="001A10E5" w:rsidRPr="00C433E7">
        <w:rPr>
          <w:sz w:val="24"/>
        </w:rPr>
        <w:t>Приобретение автономного источника электроснабжения (</w:t>
      </w:r>
      <w:proofErr w:type="gramStart"/>
      <w:r w:rsidR="001A10E5" w:rsidRPr="00C433E7">
        <w:rPr>
          <w:sz w:val="24"/>
        </w:rPr>
        <w:t>дизель-генератора</w:t>
      </w:r>
      <w:proofErr w:type="gramEnd"/>
      <w:r w:rsidR="001A10E5" w:rsidRPr="00C433E7">
        <w:rPr>
          <w:sz w:val="24"/>
        </w:rPr>
        <w:t>) для резервного</w:t>
      </w:r>
      <w:r w:rsidR="001A10E5" w:rsidRPr="00BC4BEB">
        <w:rPr>
          <w:sz w:val="24"/>
        </w:rPr>
        <w:t xml:space="preserve">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09199E">
        <w:trPr>
          <w:trHeight w:val="783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C433E7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C433E7" w:rsidRDefault="004C597B" w:rsidP="003A71A0">
            <w:pPr>
              <w:ind w:firstLine="0"/>
              <w:jc w:val="both"/>
              <w:rPr>
                <w:sz w:val="24"/>
              </w:rPr>
            </w:pPr>
            <w:r w:rsidRPr="00C433E7">
              <w:rPr>
                <w:sz w:val="24"/>
              </w:rPr>
              <w:t xml:space="preserve">Выполнение работ по </w:t>
            </w:r>
            <w:r w:rsidR="003A71A0" w:rsidRPr="00C433E7">
              <w:rPr>
                <w:sz w:val="24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C433E7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C433E7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</w:tr>
      <w:tr w:rsidR="00427E12" w:rsidRPr="005C0611" w:rsidTr="00C46F09">
        <w:trPr>
          <w:trHeight w:val="860"/>
        </w:trPr>
        <w:tc>
          <w:tcPr>
            <w:tcW w:w="520" w:type="dxa"/>
            <w:shd w:val="clear" w:color="auto" w:fill="auto"/>
            <w:noWrap/>
          </w:tcPr>
          <w:p w:rsidR="00427E12" w:rsidRPr="00BB04D6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04D6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объекту: «Установка (устройство) поквартирной системы ГВС о</w:t>
            </w:r>
            <w:r w:rsidR="00BB04D6">
              <w:rPr>
                <w:sz w:val="24"/>
              </w:rPr>
              <w:t>т</w:t>
            </w:r>
            <w:r>
              <w:rPr>
                <w:sz w:val="24"/>
              </w:rPr>
              <w:t xml:space="preserve"> проточных газовых водонагревателей»</w:t>
            </w:r>
          </w:p>
        </w:tc>
        <w:tc>
          <w:tcPr>
            <w:tcW w:w="2297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299 000,00</w:t>
            </w:r>
          </w:p>
        </w:tc>
        <w:tc>
          <w:tcPr>
            <w:tcW w:w="2664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Pr="00C433E7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299 000,00</w:t>
            </w:r>
          </w:p>
        </w:tc>
      </w:tr>
      <w:tr w:rsidR="00427E12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27E12" w:rsidRPr="00BB04D6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04D6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shd w:val="clear" w:color="auto" w:fill="auto"/>
          </w:tcPr>
          <w:p w:rsidR="00427E12" w:rsidRPr="00C47B6F" w:rsidRDefault="00427E12" w:rsidP="00427E12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900AB3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900AB3" w:rsidRPr="00BB04D6" w:rsidRDefault="00900AB3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shd w:val="clear" w:color="auto" w:fill="auto"/>
          </w:tcPr>
          <w:p w:rsidR="00900AB3" w:rsidRPr="00A4608B" w:rsidRDefault="00900AB3" w:rsidP="00427E12">
            <w:pPr>
              <w:ind w:firstLine="0"/>
              <w:jc w:val="both"/>
              <w:rPr>
                <w:sz w:val="24"/>
              </w:rPr>
            </w:pPr>
            <w:r w:rsidRPr="008573C0">
              <w:rPr>
                <w:rFonts w:cs="Times New Roman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900AB3" w:rsidRDefault="00900AB3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550 000,00</w:t>
            </w:r>
          </w:p>
        </w:tc>
        <w:tc>
          <w:tcPr>
            <w:tcW w:w="2664" w:type="dxa"/>
            <w:shd w:val="clear" w:color="auto" w:fill="auto"/>
          </w:tcPr>
          <w:p w:rsidR="00900AB3" w:rsidRDefault="00900AB3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00AB3" w:rsidRDefault="00900AB3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427E12">
        <w:trPr>
          <w:trHeight w:val="15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C433E7" w:rsidRDefault="00C433E7" w:rsidP="00C433E7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8"/>
              </w:rPr>
              <w:t>3 116 950,00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C218FB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 xml:space="preserve"> 416</w:t>
            </w:r>
            <w:r>
              <w:rPr>
                <w:rFonts w:cs="Times New Roman"/>
                <w:sz w:val="24"/>
                <w:szCs w:val="20"/>
                <w:lang w:eastAsia="ru-RU"/>
              </w:rPr>
              <w:t> 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>950</w:t>
            </w:r>
            <w:r>
              <w:rPr>
                <w:rFonts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7714F" w:rsidRPr="00C433E7" w:rsidTr="00427E12">
        <w:trPr>
          <w:trHeight w:val="1324"/>
        </w:trPr>
        <w:tc>
          <w:tcPr>
            <w:tcW w:w="520" w:type="dxa"/>
            <w:shd w:val="clear" w:color="auto" w:fill="auto"/>
            <w:noWrap/>
          </w:tcPr>
          <w:p w:rsidR="0007714F" w:rsidRPr="00C433E7" w:rsidRDefault="000771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C433E7" w:rsidRDefault="0007714F" w:rsidP="00A4608B">
            <w:pPr>
              <w:ind w:firstLine="0"/>
              <w:jc w:val="both"/>
              <w:rPr>
                <w:b/>
                <w:sz w:val="24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C433E7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2 650 000,00</w:t>
            </w:r>
          </w:p>
        </w:tc>
      </w:tr>
      <w:tr w:rsidR="00CA6D0D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C433E7" w:rsidRDefault="00CA6D0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C433E7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</w:t>
            </w:r>
            <w:proofErr w:type="spell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тарая</w:t>
            </w:r>
            <w:proofErr w:type="spell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1 596 092,00</w:t>
            </w:r>
          </w:p>
        </w:tc>
      </w:tr>
      <w:tr w:rsidR="0063735C" w:rsidRPr="00C433E7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C433E7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433E7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C433E7" w:rsidRDefault="00AE264F" w:rsidP="00AE26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="00801DA9"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C433E7" w:rsidRDefault="00AE264F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C433E7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C433E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502D" w:rsidRPr="00C433E7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C433E7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C433E7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  <w:r w:rsidR="00BB1D18" w:rsidRPr="00C433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C433E7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C433E7">
              <w:rPr>
                <w:sz w:val="24"/>
                <w:szCs w:val="24"/>
              </w:rPr>
              <w:t>Мяглово</w:t>
            </w:r>
            <w:proofErr w:type="spellEnd"/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C433E7" w:rsidRDefault="001B44C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="00900AB3">
              <w:rPr>
                <w:rFonts w:cs="Times New Roman"/>
                <w:sz w:val="24"/>
              </w:rPr>
              <w:t>58</w:t>
            </w: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283,36</w:t>
            </w:r>
          </w:p>
        </w:tc>
        <w:tc>
          <w:tcPr>
            <w:tcW w:w="2664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900AB3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58</w:t>
            </w: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283,36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C90F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C90F2A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900AB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</w:t>
            </w:r>
            <w:r w:rsidR="00695F46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900AB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</w:t>
            </w:r>
            <w:r w:rsidR="00695F46">
              <w:rPr>
                <w:rFonts w:cs="Times New Roman"/>
                <w:sz w:val="24"/>
              </w:rPr>
              <w:t>00 000,00</w:t>
            </w:r>
          </w:p>
        </w:tc>
      </w:tr>
      <w:tr w:rsidR="007408F7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408F7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695F4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95F46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 </w:t>
            </w:r>
            <w:r w:rsidRPr="00695F46">
              <w:rPr>
                <w:rFonts w:cs="Times New Roman"/>
                <w:sz w:val="24"/>
              </w:rPr>
              <w:t>136</w:t>
            </w:r>
            <w:r>
              <w:rPr>
                <w:rFonts w:cs="Times New Roman"/>
                <w:sz w:val="24"/>
              </w:rPr>
              <w:t xml:space="preserve"> </w:t>
            </w:r>
            <w:r w:rsidRPr="00695F46">
              <w:rPr>
                <w:rFonts w:cs="Times New Roman"/>
                <w:sz w:val="24"/>
              </w:rPr>
              <w:t>863,37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814D91" w:rsidP="00695F4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4</w:t>
            </w:r>
            <w:r w:rsidR="00695F46">
              <w:rPr>
                <w:rFonts w:cs="Times New Roman"/>
                <w:sz w:val="24"/>
              </w:rPr>
              <w:t> 958 903,37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ый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 газопровод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FE4431" w:rsidP="007A6AF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A6AF0"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«Распределительный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09199E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14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C90F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4 580 100,00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C90F2A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6 094 767,41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, пер. Лесной) Всеволожского района </w:t>
            </w:r>
            <w:r w:rsidRPr="00C433E7">
              <w:rPr>
                <w:iCs/>
                <w:sz w:val="24"/>
                <w:szCs w:val="24"/>
                <w:lang w:eastAsia="ru-RU"/>
              </w:rPr>
              <w:lastRenderedPageBreak/>
              <w:t>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lastRenderedPageBreak/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</w:tr>
      <w:tr w:rsidR="00814D91" w:rsidRPr="005C0611" w:rsidTr="00427E12">
        <w:trPr>
          <w:trHeight w:val="1267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7408F7" w:rsidRPr="005C0611" w:rsidTr="00427E12">
        <w:trPr>
          <w:trHeight w:val="1296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427E12">
        <w:trPr>
          <w:trHeight w:val="1015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1B44C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378,5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1B44C6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378,5</w:t>
            </w:r>
            <w:r>
              <w:rPr>
                <w:rFonts w:cs="Times New Roman"/>
                <w:sz w:val="24"/>
              </w:rPr>
              <w:t>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1D238C" w:rsidRPr="005C0611" w:rsidTr="00427E12">
        <w:trPr>
          <w:trHeight w:val="1889"/>
        </w:trPr>
        <w:tc>
          <w:tcPr>
            <w:tcW w:w="520" w:type="dxa"/>
            <w:shd w:val="clear" w:color="auto" w:fill="auto"/>
            <w:noWrap/>
          </w:tcPr>
          <w:p w:rsidR="001D238C" w:rsidRDefault="001D238C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51" w:type="dxa"/>
            <w:shd w:val="clear" w:color="auto" w:fill="auto"/>
          </w:tcPr>
          <w:p w:rsidR="001D238C" w:rsidRPr="007408F7" w:rsidRDefault="001D238C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составлению проекта сметы контракта по объектам: 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«Распределительный газопровод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  <w:r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D238C" w:rsidRDefault="001D238C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51" w:type="dxa"/>
            <w:shd w:val="clear" w:color="auto" w:fill="auto"/>
          </w:tcPr>
          <w:p w:rsidR="00AE264F" w:rsidRDefault="00AE264F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согласованию проекта газоснабжения в части учета газа по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  <w:tc>
          <w:tcPr>
            <w:tcW w:w="2664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AE264F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51" w:type="dxa"/>
            <w:shd w:val="clear" w:color="auto" w:fill="auto"/>
          </w:tcPr>
          <w:p w:rsidR="00AE264F" w:rsidRPr="00D07458" w:rsidRDefault="00AE264F" w:rsidP="00AE264F">
            <w:pPr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Выполнение работ</w:t>
            </w:r>
            <w:r w:rsidRPr="00D07458">
              <w:rPr>
                <w:rStyle w:val="20"/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20"/>
                <w:rFonts w:ascii="Times New Roman" w:hAnsi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по п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одключению к сетям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газоснабжению ТКУ по </w:t>
            </w:r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адресу: Ленинградская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область, Всеволожский район, п. </w:t>
            </w:r>
            <w:proofErr w:type="spellStart"/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Воейково</w:t>
            </w:r>
            <w:proofErr w:type="spellEnd"/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, уч. 13К (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в пределах границ земельного участка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с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кад</w:t>
            </w:r>
            <w:proofErr w:type="spellEnd"/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. № 47:09:0104003:180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194 766,00</w:t>
            </w:r>
          </w:p>
        </w:tc>
        <w:tc>
          <w:tcPr>
            <w:tcW w:w="2664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D07458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194 766,00</w:t>
            </w:r>
          </w:p>
        </w:tc>
      </w:tr>
      <w:tr w:rsidR="00427E1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контроля </w:t>
            </w:r>
            <w:r>
              <w:rPr>
                <w:iCs/>
                <w:sz w:val="24"/>
                <w:szCs w:val="24"/>
                <w:lang w:eastAsia="ru-RU"/>
              </w:rPr>
              <w:t xml:space="preserve">по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427E1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</w:t>
            </w:r>
            <w:r>
              <w:rPr>
                <w:iCs/>
                <w:sz w:val="24"/>
                <w:szCs w:val="24"/>
                <w:lang w:eastAsia="ru-RU"/>
              </w:rPr>
              <w:t xml:space="preserve">по 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FE184B">
              <w:rPr>
                <w:sz w:val="24"/>
                <w:szCs w:val="24"/>
              </w:rPr>
              <w:t>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E184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09199E" w:rsidRPr="00C433E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Выполнение работ по устройству уличног</w:t>
            </w:r>
            <w:r w:rsidR="00CA6D0D" w:rsidRPr="00C433E7">
              <w:rPr>
                <w:bCs/>
                <w:sz w:val="24"/>
              </w:rPr>
              <w:t>о освещения на  детской площадке</w:t>
            </w:r>
            <w:r w:rsidRPr="00C433E7">
              <w:rPr>
                <w:bCs/>
                <w:sz w:val="24"/>
              </w:rPr>
              <w:t xml:space="preserve"> в д. </w:t>
            </w:r>
            <w:proofErr w:type="gramStart"/>
            <w:r w:rsidRPr="00C433E7">
              <w:rPr>
                <w:bCs/>
                <w:sz w:val="24"/>
              </w:rPr>
              <w:t>Старая</w:t>
            </w:r>
            <w:proofErr w:type="gramEnd"/>
            <w:r w:rsidRPr="00C433E7">
              <w:rPr>
                <w:bCs/>
                <w:sz w:val="24"/>
              </w:rPr>
              <w:t xml:space="preserve">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3A71A0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3A71A0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строительному </w:t>
            </w:r>
            <w:proofErr w:type="gramStart"/>
            <w:r w:rsidRPr="00C433E7">
              <w:rPr>
                <w:bCs/>
                <w:sz w:val="24"/>
              </w:rPr>
              <w:t>контролю за</w:t>
            </w:r>
            <w:proofErr w:type="gramEnd"/>
            <w:r w:rsidRPr="00C433E7">
              <w:rPr>
                <w:bCs/>
                <w:sz w:val="24"/>
              </w:rPr>
              <w:t xml:space="preserve">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, </w:t>
            </w:r>
            <w:r w:rsidR="00CA6D0D" w:rsidRPr="00C433E7">
              <w:rPr>
                <w:bCs/>
                <w:sz w:val="24"/>
              </w:rPr>
              <w:t>ул. Верхняя 5 «С»</w:t>
            </w:r>
            <w:r w:rsidRPr="00C433E7">
              <w:rPr>
                <w:bCs/>
                <w:sz w:val="24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CA6D0D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осуществлению авторского надзора за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605516" w:rsidP="0060551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16 490 572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C218FB" w:rsidP="0060551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>8 821 568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32" w:rsidRDefault="00D90232" w:rsidP="0049199F">
      <w:r>
        <w:separator/>
      </w:r>
    </w:p>
  </w:endnote>
  <w:endnote w:type="continuationSeparator" w:id="0">
    <w:p w:rsidR="00D90232" w:rsidRDefault="00D90232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32" w:rsidRDefault="00D90232" w:rsidP="0049199F">
      <w:r>
        <w:separator/>
      </w:r>
    </w:p>
  </w:footnote>
  <w:footnote w:type="continuationSeparator" w:id="0">
    <w:p w:rsidR="00D90232" w:rsidRDefault="00D90232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555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51FB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E35C7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B44C6"/>
    <w:rsid w:val="001C5DF5"/>
    <w:rsid w:val="001C78B7"/>
    <w:rsid w:val="001D122D"/>
    <w:rsid w:val="001D1C57"/>
    <w:rsid w:val="001D1CD6"/>
    <w:rsid w:val="001D238C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205F5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E7C1D"/>
    <w:rsid w:val="002F1D14"/>
    <w:rsid w:val="00302578"/>
    <w:rsid w:val="003039CA"/>
    <w:rsid w:val="003123C5"/>
    <w:rsid w:val="0031381E"/>
    <w:rsid w:val="003155C6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27E12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3288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5A8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B671B"/>
    <w:rsid w:val="005C0611"/>
    <w:rsid w:val="005C08F4"/>
    <w:rsid w:val="005C35BB"/>
    <w:rsid w:val="005D17E3"/>
    <w:rsid w:val="005D32FA"/>
    <w:rsid w:val="005D43C6"/>
    <w:rsid w:val="005D515A"/>
    <w:rsid w:val="005F0DD2"/>
    <w:rsid w:val="00604379"/>
    <w:rsid w:val="00605516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5F46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E74D0"/>
    <w:rsid w:val="007F15DF"/>
    <w:rsid w:val="007F4E8D"/>
    <w:rsid w:val="008016DF"/>
    <w:rsid w:val="00801DA9"/>
    <w:rsid w:val="00803A61"/>
    <w:rsid w:val="008047FC"/>
    <w:rsid w:val="00813644"/>
    <w:rsid w:val="00814D91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0AB3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60A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3F4C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E264F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57E9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04D6"/>
    <w:rsid w:val="00BB1C9B"/>
    <w:rsid w:val="00BB1D18"/>
    <w:rsid w:val="00BC0965"/>
    <w:rsid w:val="00BC4745"/>
    <w:rsid w:val="00BC48CF"/>
    <w:rsid w:val="00BC4BEB"/>
    <w:rsid w:val="00BC57EB"/>
    <w:rsid w:val="00BD2B81"/>
    <w:rsid w:val="00BD2C72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8FB"/>
    <w:rsid w:val="00C21BA5"/>
    <w:rsid w:val="00C2498C"/>
    <w:rsid w:val="00C25636"/>
    <w:rsid w:val="00C2613A"/>
    <w:rsid w:val="00C2767C"/>
    <w:rsid w:val="00C33273"/>
    <w:rsid w:val="00C4288D"/>
    <w:rsid w:val="00C433E7"/>
    <w:rsid w:val="00C46F09"/>
    <w:rsid w:val="00C47200"/>
    <w:rsid w:val="00C47B6F"/>
    <w:rsid w:val="00C51302"/>
    <w:rsid w:val="00C51752"/>
    <w:rsid w:val="00C53476"/>
    <w:rsid w:val="00C5391B"/>
    <w:rsid w:val="00C57B1F"/>
    <w:rsid w:val="00C634CD"/>
    <w:rsid w:val="00C65B93"/>
    <w:rsid w:val="00C70D56"/>
    <w:rsid w:val="00C710AB"/>
    <w:rsid w:val="00C71BF9"/>
    <w:rsid w:val="00C73A5C"/>
    <w:rsid w:val="00C77231"/>
    <w:rsid w:val="00C81A8A"/>
    <w:rsid w:val="00C82F1B"/>
    <w:rsid w:val="00C8694B"/>
    <w:rsid w:val="00C90F2A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07458"/>
    <w:rsid w:val="00D102AE"/>
    <w:rsid w:val="00D1081F"/>
    <w:rsid w:val="00D12EA8"/>
    <w:rsid w:val="00D14F5F"/>
    <w:rsid w:val="00D15D58"/>
    <w:rsid w:val="00D17348"/>
    <w:rsid w:val="00D175CC"/>
    <w:rsid w:val="00D24692"/>
    <w:rsid w:val="00D26F02"/>
    <w:rsid w:val="00D46F85"/>
    <w:rsid w:val="00D55C33"/>
    <w:rsid w:val="00D564B9"/>
    <w:rsid w:val="00D64CF8"/>
    <w:rsid w:val="00D7108B"/>
    <w:rsid w:val="00D71465"/>
    <w:rsid w:val="00D715D5"/>
    <w:rsid w:val="00D73ED7"/>
    <w:rsid w:val="00D7551D"/>
    <w:rsid w:val="00D775E8"/>
    <w:rsid w:val="00D80A43"/>
    <w:rsid w:val="00D817CC"/>
    <w:rsid w:val="00D85332"/>
    <w:rsid w:val="00D902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19BE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422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184B"/>
    <w:rsid w:val="00FE3432"/>
    <w:rsid w:val="00FE4431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38B8-DC6B-46E7-AC47-89F5AF37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2020-07-15T10:30:00Z</cp:lastPrinted>
  <dcterms:created xsi:type="dcterms:W3CDTF">2020-08-27T12:52:00Z</dcterms:created>
  <dcterms:modified xsi:type="dcterms:W3CDTF">2020-08-27T12:52:00Z</dcterms:modified>
</cp:coreProperties>
</file>