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D" w:rsidRDefault="0060460D" w:rsidP="0060460D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РОССИЙСКАЯ  ФЕДЕРАЦИЯ</w:t>
      </w:r>
    </w:p>
    <w:p w:rsidR="0060460D" w:rsidRPr="0060460D" w:rsidRDefault="0060460D" w:rsidP="0060460D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0460D" w:rsidRPr="0060460D" w:rsidRDefault="0060460D" w:rsidP="0060460D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60460D" w:rsidRPr="0060460D" w:rsidRDefault="0060460D" w:rsidP="0060460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0460D" w:rsidRPr="0060460D" w:rsidRDefault="001A18D2" w:rsidP="0060460D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15.05.2020</w:t>
      </w:r>
      <w:r w:rsidR="0060460D" w:rsidRPr="0060460D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271</w:t>
      </w:r>
    </w:p>
    <w:p w:rsidR="00504384" w:rsidRPr="00D82031" w:rsidRDefault="0060460D" w:rsidP="00412657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60460D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p w:rsidR="000D635D" w:rsidRPr="00504384" w:rsidRDefault="000D635D" w:rsidP="000D635D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Порядка исполнения бюджета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МО Колтушское СП </w:t>
      </w:r>
      <w:r w:rsidRPr="00504384">
        <w:rPr>
          <w:rFonts w:ascii="Times New Roman" w:eastAsia="Times New Roman CYR" w:hAnsi="Times New Roman" w:cs="Times New Roman"/>
          <w:sz w:val="28"/>
          <w:szCs w:val="28"/>
        </w:rPr>
        <w:t>по расходам и источникам финансирования дефицита бюджета поселения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0438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В целях реализации </w:t>
      </w:r>
      <w:r w:rsidRPr="0050438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статей 219, 219.2 </w:t>
      </w:r>
      <w:r w:rsidRPr="0050438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Бюджетного кодекса Российской Федерации, </w:t>
      </w:r>
      <w:r w:rsidRPr="0050438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статьи 14</w:t>
      </w:r>
      <w:r w:rsidRPr="0050438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 Федерального закона от 06.10.2003 № 131-ФЗ «Об общих принципах организации местного самоуправления в Российской Федерации», руководствуясь Уставом </w:t>
      </w:r>
      <w:r w:rsidR="00B56D6F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муниципального образования</w:t>
      </w:r>
      <w:r w:rsidR="00274EFE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Колтушско</w:t>
      </w:r>
      <w:r w:rsidR="00274EFE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 w:rsidRPr="00504384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Всеволожского муниципального</w:t>
      </w:r>
      <w:r w:rsidRPr="00504384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Ленинградской</w:t>
      </w:r>
      <w:r w:rsidRPr="00504384"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области, </w:t>
      </w:r>
    </w:p>
    <w:p w:rsidR="00504384" w:rsidRDefault="00504384" w:rsidP="005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4" w:rsidRDefault="00504384" w:rsidP="005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4384" w:rsidRPr="00504384" w:rsidRDefault="00504384" w:rsidP="005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 Утвердить Порядок исполнения бюджета </w:t>
      </w:r>
      <w:r w:rsidR="007D0C46" w:rsidRPr="007D0C46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по расходам и источникам финансирования дефицита бюджета поселения согласно приложению </w:t>
      </w:r>
      <w:r w:rsidR="0060460D" w:rsidRPr="0060460D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к настоящему постановлению</w:t>
      </w: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2. </w:t>
      </w:r>
      <w:r w:rsidRPr="005043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Главному специалисту по делопроизводству разместить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5043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официальном сайте МО Колтушское СП. </w:t>
      </w:r>
    </w:p>
    <w:p w:rsidR="00504384" w:rsidRPr="00504384" w:rsidRDefault="0060460D" w:rsidP="005043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657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</w:t>
      </w:r>
      <w:r w:rsidR="00504384" w:rsidRPr="00504384">
        <w:rPr>
          <w:rFonts w:ascii="Times New Roman" w:eastAsia="Times New Roman CYR" w:hAnsi="Times New Roman" w:cs="Times New Roman"/>
          <w:sz w:val="28"/>
          <w:szCs w:val="28"/>
          <w:lang w:bidi="ru-RU"/>
        </w:rPr>
        <w:t>3. </w:t>
      </w:r>
      <w:r w:rsidR="00504384" w:rsidRPr="00504384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постановления возложить на </w:t>
      </w:r>
      <w:r w:rsidR="00504384" w:rsidRPr="00504384">
        <w:rPr>
          <w:rFonts w:ascii="Times New Roman" w:hAnsi="Times New Roman"/>
          <w:sz w:val="28"/>
          <w:szCs w:val="28"/>
        </w:rPr>
        <w:t>заместителя главы администрации по финансам, экономике, тарифам и ценообразованию Норкко О.А.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60460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043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администрации                               </w:t>
      </w:r>
      <w:r w:rsidR="006046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5043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А.В. Комарницкая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D82031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412657" w:rsidRPr="00D82031" w:rsidRDefault="00412657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412657" w:rsidRPr="00D82031" w:rsidRDefault="00412657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60460D" w:rsidRPr="0060460D" w:rsidRDefault="0060460D" w:rsidP="0060460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60460D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</w:t>
      </w:r>
    </w:p>
    <w:p w:rsidR="00504384" w:rsidRPr="0060460D" w:rsidRDefault="0060460D" w:rsidP="0060460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60460D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от </w:t>
      </w:r>
      <w:r w:rsidR="001A18D2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eastAsia="ru-RU" w:bidi="ru-RU"/>
        </w:rPr>
        <w:t>15.05.2020</w:t>
      </w:r>
      <w:r w:rsidR="001A18D2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№ </w:t>
      </w:r>
      <w:bookmarkStart w:id="0" w:name="_GoBack"/>
      <w:bookmarkEnd w:id="0"/>
      <w:r w:rsidR="001A18D2" w:rsidRPr="001A18D2">
        <w:rPr>
          <w:rFonts w:ascii="Times New Roman" w:eastAsia="Times New Roman CYR" w:hAnsi="Times New Roman" w:cs="Times New Roman"/>
          <w:bCs/>
          <w:sz w:val="28"/>
          <w:szCs w:val="28"/>
          <w:u w:val="single"/>
          <w:lang w:eastAsia="ru-RU" w:bidi="ru-RU"/>
        </w:rPr>
        <w:t>271</w:t>
      </w:r>
    </w:p>
    <w:p w:rsidR="0060460D" w:rsidRPr="0060460D" w:rsidRDefault="0060460D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60460D" w:rsidRPr="0060460D" w:rsidRDefault="0060460D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60460D" w:rsidRPr="0060460D" w:rsidRDefault="0060460D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60460D" w:rsidRPr="0060460D" w:rsidRDefault="0060460D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0D635D" w:rsidRPr="00504384" w:rsidRDefault="00504384" w:rsidP="000D63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ПОРЯДОК</w:t>
      </w:r>
      <w:r w:rsidRPr="0050438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br/>
      </w:r>
      <w:r w:rsidR="000D635D" w:rsidRPr="0050438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исполнения бюджета </w:t>
      </w:r>
      <w:r w:rsidR="000D635D" w:rsidRPr="00083790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муниципального образования Колтушское  сельское поселение Всеволожского муниципального района Ленинградской области</w:t>
      </w:r>
      <w:r w:rsidR="000D635D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D635D" w:rsidRPr="0050438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по расходам и источникам</w:t>
      </w:r>
      <w:r w:rsidR="000D635D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D635D" w:rsidRPr="0050438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финансирования дефицита бюджета </w:t>
      </w:r>
      <w:r w:rsidR="000D635D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поселения 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Общие положения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1. Настоящий Порядок разработан в соответствии со ст. 219, 219.2 БК РФ, с решением Совета депутатов </w:t>
      </w:r>
      <w:r w:rsidR="00274EFE" w:rsidRPr="00274EFE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муниципального образования</w:t>
      </w:r>
      <w:r w:rsidR="00274EFE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Колтушско</w:t>
      </w:r>
      <w:r w:rsidR="00274EFE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е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Всеволожского муниципального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района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Ленинградской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области от </w:t>
      </w:r>
      <w:r w:rsidR="00B56D6F" w:rsidRPr="00B56D6F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31.10.2017 года № 64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(с изменениями, внесенными решениями совета депутатов от 06.04.2018 № 23, от 22.05.2019 № 29) 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и устанавливает порядок исполнения бюджета поселения по расходам и источникам финансирования дефицита бюджета поселения.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2. Исполнени</w:t>
      </w:r>
      <w:r w:rsidR="0041265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е </w:t>
      </w:r>
      <w:r w:rsidR="007D0C46" w:rsidRPr="007D0C46">
        <w:rPr>
          <w:rFonts w:ascii="Times New Roman CYR" w:eastAsia="Times New Roman CYR" w:hAnsi="Times New Roman CYR" w:cs="Times New Roman CYR"/>
          <w:bCs/>
          <w:sz w:val="28"/>
          <w:szCs w:val="28"/>
          <w:lang w:eastAsia="ru-RU" w:bidi="ru-RU"/>
        </w:rPr>
        <w:t xml:space="preserve">бюджета </w:t>
      </w:r>
      <w:r w:rsidR="007D0C46">
        <w:rPr>
          <w:rFonts w:ascii="Times New Roman CYR" w:eastAsia="Times New Roman CYR" w:hAnsi="Times New Roman CYR" w:cs="Times New Roman CYR"/>
          <w:bCs/>
          <w:sz w:val="28"/>
          <w:szCs w:val="28"/>
          <w:lang w:eastAsia="ru-RU" w:bidi="ru-RU"/>
        </w:rPr>
        <w:t xml:space="preserve">поселения </w:t>
      </w:r>
      <w:r w:rsidR="0041265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организует </w:t>
      </w:r>
      <w:r w:rsidR="00412657" w:rsidRPr="0041265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дминистрация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муниципального образования Колтушское 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сельско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е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поселени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е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Всеволожского муниципального района Ленинградской области (далее – </w:t>
      </w:r>
      <w:r w:rsidR="00412657" w:rsidRPr="0041265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администрация МО Колтушское СП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), в соответствии со сводной бюджетной росписью бюджета поселения и кассовым планом.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3. Исполнение бюджета по расходам и источникам финансирования дефицита бюджета поселения предусматривает: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а) принятие бюджетных обязательств;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б) подтверждение денежных обязательств;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в) санкционирование оплаты денежных обязательств;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г) подтверждение исполнения денежных обязательств.</w:t>
      </w:r>
    </w:p>
    <w:p w:rsidR="00504384" w:rsidRPr="00504384" w:rsidRDefault="00412657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МО Колтушское СП</w:t>
      </w:r>
      <w:r w:rsidRPr="0041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84"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</w:t>
      </w:r>
      <w:hyperlink r:id="rId6" w:history="1">
        <w:r w:rsidRPr="00412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504384" w:rsidRPr="0050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орядк</w:t>
        </w:r>
      </w:hyperlink>
      <w:r w:rsidR="00504384"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12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384"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7" w:history="1">
        <w:r w:rsidR="00504384" w:rsidRPr="0050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504384"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0504320, установленной в </w:t>
      </w:r>
      <w:r w:rsidR="00504384" w:rsidRPr="00504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Приложении № 1 к </w:t>
      </w:r>
      <w:hyperlink w:anchor="sub_0" w:history="1">
        <w:r w:rsidR="00504384" w:rsidRPr="0050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="00504384" w:rsidRPr="00504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 от 29.11.2017 г. № 213н.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целей настоящего положения используются следующие понятия: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 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412657" w:rsidRPr="0041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МО Колтушское СП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Перечень участников бюджетного процесса (далее – получатели средств местного бюджета);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бюджетные данные - бюджетные ассигнования, лимиты бюджетных обязательств, предельные объемы финансирования;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бюджетные обязательства - расходные обязательства, подлежащие исполнению в соответствующем финансовом году;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денежные обязательства -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04384" w:rsidRPr="00504384" w:rsidRDefault="00504384" w:rsidP="00504384">
      <w:pPr>
        <w:widowControl w:val="0"/>
        <w:tabs>
          <w:tab w:val="left" w:pos="851"/>
          <w:tab w:val="left" w:pos="255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5. Исполнение местного бюджета по расходам и источникам финансирования дефицита бюджета поселения осуществляется на лицевых счетах, открытых получателям средств местного бюджета в Управлении </w:t>
      </w:r>
      <w:r w:rsidR="000A178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федерального казначейства по Ленинградской области 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едином счете бюджета </w:t>
      </w:r>
      <w:r w:rsidR="00274EFE" w:rsidRPr="00274E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274E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3B0681" w:rsidRPr="003B0681">
        <w:rPr>
          <w:rFonts w:ascii="Times New Roman" w:eastAsia="Times New Roman CYR" w:hAnsi="Times New Roman" w:cs="Times New Roman"/>
          <w:sz w:val="28"/>
          <w:szCs w:val="28"/>
          <w:lang w:bidi="ru-RU"/>
        </w:rPr>
        <w:t>Колтушско</w:t>
      </w:r>
      <w:r w:rsidR="00274EFE">
        <w:rPr>
          <w:rFonts w:ascii="Times New Roman" w:eastAsia="Times New Roman CYR" w:hAnsi="Times New Roman" w:cs="Times New Roman"/>
          <w:sz w:val="28"/>
          <w:szCs w:val="28"/>
          <w:lang w:bidi="ru-RU"/>
        </w:rPr>
        <w:t>е</w:t>
      </w:r>
      <w:r w:rsidR="003B0681" w:rsidRPr="003B068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сельского поселения Всеволожского муниципального района Ленинградской области</w:t>
      </w:r>
      <w:r w:rsidRPr="00504384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 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22272F"/>
          <w:sz w:val="28"/>
          <w:szCs w:val="28"/>
          <w:shd w:val="clear" w:color="auto" w:fill="FFFFFF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 w:bidi="ru-RU"/>
        </w:rPr>
        <w:t>2. Принятие бюджетных и денежных обязательств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6. Принятие бюджетных обязательств предусматривает заключение получателем 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средств местного бюджета</w:t>
      </w: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504384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Заключение получателями средств местного бюджета муниципальных контрактов (договоров) и оплата принятых бюджетных обязательств производится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Главный распорядитель средств местного бюджета осуществляет предварительный контроль по заключаемым муниципальным контрактам (договорам) подведомственными получателями средств местного бюджета, путем согласования предмета </w:t>
      </w:r>
      <w:r w:rsidR="000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 (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0A1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цены </w:t>
      </w:r>
      <w:r w:rsidR="000A1781" w:rsidRPr="000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 (договора)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целесообразности и не превышения цены муниципального контракта (договора) сумме утвержденных лимитов бюджетных обязательств на текущий финансовый год с учетом принятых и неисполненных бюджетных обязательств.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Бюджетные обязательства, не исполненные в предшествующем финансовом году, учитываются в текущем финансовом году.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 документов, подтверждающих возникновение денежных обязательств у получателя средств местного бюджета, осуществляется не позднее 25 декабря текущего финансового года.</w:t>
      </w:r>
    </w:p>
    <w:p w:rsidR="00C528D4" w:rsidRPr="00504384" w:rsidRDefault="00504384" w:rsidP="00C52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</w:t>
      </w:r>
      <w:bookmarkStart w:id="1" w:name="sub_421"/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последующей оплатой денежных обязательств, возникающих по муниципальным контрактам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о поставке товаров, выполнении работ и оказании услуг, после подтверждения</w:t>
      </w:r>
      <w:r w:rsidR="00274E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предусмотренных указанными муниципальными контрактами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(договорами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поставки товаров, выполнения работ, оказания услуг в объеме произведенных авансовых платежей: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2" w:name="sub_423"/>
      <w:bookmarkEnd w:id="1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в размере, не превышающем 30 процентов суммы муниципального контракта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о поставке товаров, выполнении работ и оказании услуг, если иное не установлено настоящим постановлением, а также федеральными законами и иными нормативными правовыми актами Правительства Российской Федерации;</w:t>
      </w:r>
    </w:p>
    <w:bookmarkEnd w:id="2"/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в размере свыше 30 и до 80 процентов суммы муниципального контракта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 на выполнение научно-исследовательских и опытно-конструкторских работ, направленных на </w:t>
      </w:r>
      <w:proofErr w:type="spellStart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импортозамещение</w:t>
      </w:r>
      <w:proofErr w:type="spellEnd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технологической продукции, при включении в указанные муниципальные контракты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(договоры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(за исключением муниципальных контрактов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(договоров)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условия о перечислении авансовых платежей на счета, открытые территориальным орган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муниципальным контрактам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 подтверждения от федерального органа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такого муниципального контракта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 целям </w:t>
      </w:r>
      <w:proofErr w:type="spellStart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импортозамещения</w:t>
      </w:r>
      <w:proofErr w:type="spellEnd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в размере свыше 30 процентов суммы муниципального контракта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(за исключением муниципальных контрактов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(договоров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8" w:history="1">
        <w:r w:rsidRPr="00504384">
          <w:rPr>
            <w:rFonts w:ascii="Times New Roman" w:eastAsia="Arial" w:hAnsi="Times New Roman" w:cs="Times New Roman"/>
            <w:sz w:val="28"/>
            <w:szCs w:val="28"/>
            <w:lang w:eastAsia="ru-RU" w:bidi="ru-RU"/>
          </w:rPr>
          <w:t>бюджетной классификации</w:t>
        </w:r>
      </w:hyperlink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Российской Федерации, при включении в указанные муниципальные контракты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(договоры)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3" w:name="sub_1046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до 100 процентов суммы муниципального контракта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), но не более доведенных лимитов бюджетных обязательств по соответствующему коду бюджетной классификации Российской Федерации, - по муниципальным контрактам</w:t>
      </w:r>
      <w:r w:rsidR="0076511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(договорам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):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 оказании услуг связи;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 подписке на печатные издания и об их приобретении;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504384" w:rsidRPr="000D635D" w:rsidRDefault="00504384" w:rsidP="00B125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договорам обязательного страхования гражданской ответственности владельцев транспортных средств;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договорам аренды</w:t>
      </w:r>
      <w:r w:rsidR="00D8203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504384" w:rsidRPr="00504384" w:rsidRDefault="00504384" w:rsidP="00274EF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79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 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ым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контракта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 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 проведении мероприятий по тушению пожаров</w:t>
      </w:r>
      <w:r w:rsidR="00C528D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4" w:name="sub_4242"/>
      <w:bookmarkEnd w:id="3"/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Получатели средств местного бюджета не предусматривают авансовые платежи при заключении 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муниципальных контрактов 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договоров) о поставке отдельных товаров, оказании отдельных услуг, включенных в </w:t>
      </w:r>
      <w:hyperlink r:id="rId9" w:history="1">
        <w:r w:rsidRPr="00504384">
          <w:rPr>
            <w:rFonts w:ascii="Times New Roman" w:eastAsia="Arial" w:hAnsi="Times New Roman" w:cs="Times New Roman"/>
            <w:sz w:val="28"/>
            <w:szCs w:val="28"/>
            <w:lang w:eastAsia="ru-RU" w:bidi="ru-RU"/>
          </w:rPr>
          <w:t>перечень</w:t>
        </w:r>
      </w:hyperlink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утверждаемый распоряжением Правительства Российской Федерации. В случае если предметом муниципального контракта</w:t>
      </w:r>
      <w:r w:rsid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(договора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</w:t>
      </w:r>
      <w:r w:rsidR="000D635D" w:rsidRPr="000D635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муниципального контракта (договора) </w:t>
      </w:r>
      <w:r w:rsidRPr="0050438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применяются положения настоящего абзаца.</w:t>
      </w:r>
    </w:p>
    <w:bookmarkEnd w:id="4"/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Если муниципальный контракт (договор) заключен на срок более одного года, то указанный размер авансирования устанавливается от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 услуг, работ (этапов работ), предусмотренных в муниципальном контракте (договоре) на текущий финансовый год.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направить информацию о поставщике (подрядчике, исполнителе), с которым заказчиком был расторгнут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651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(оказание услуг)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по соглашению сторон, по решению суда, в случае одностороннего отказа стороны </w:t>
      </w:r>
      <w:r w:rsidR="000D635D" w:rsidRP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(договора)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исполнения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635D"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законодательством.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от исполнения </w:t>
      </w:r>
      <w:r w:rsidR="000D635D" w:rsidRP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(договора)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заказчика, 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расторгнутым через десять дней с даты уведомления об этом поставщика (подрядчика, исполнителя).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установивший в ходе исполнения </w:t>
      </w:r>
      <w:r w:rsidR="000D635D" w:rsidRPr="000D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контракта (договора)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исполнителя), обязан в одностороннем порядке отказаться от исполнения 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(договора)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принять решение об одностороннем отказе от исполнения 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(договора)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 </w:t>
      </w:r>
      <w:r w:rsidRPr="00504384">
        <w:rPr>
          <w:rFonts w:ascii="Times New Roman" w:eastAsia="Times New Roman" w:hAnsi="Times New Roman" w:cs="Times New Roman"/>
          <w:sz w:val="28"/>
          <w:szCs w:val="28"/>
        </w:rPr>
        <w:t>Гражданским кодексом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</w:t>
      </w:r>
      <w:r w:rsidR="0076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(договором)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До 1 февраля текущего финансового года получатель средств местного бюджета представляет в </w:t>
      </w:r>
      <w:r w:rsid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P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274EFE" w:rsidRP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муниципальный </w:t>
      </w:r>
      <w:r w:rsidRP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274EFE" w:rsidRP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финансов</w:t>
      </w:r>
      <w:r w:rsid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</w:t>
      </w:r>
      <w:r w:rsid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сроков, указанных в представленной справке.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504384" w:rsidRPr="00306970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При направлении муниципального служащего </w:t>
      </w:r>
      <w:r w:rsidR="00412657" w:rsidRPr="0041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МО Колтушское СП</w:t>
      </w:r>
      <w:r w:rsidRPr="0050438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412657" w:rsidRPr="0041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МО Колтушское СП</w:t>
      </w:r>
      <w:r w:rsidRP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 кредиторской задолженности за... " с указанием периода, номера, даты документа-основания.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Подтверждение денежных обязательств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20. 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Подтверждение денежных обязательств, за исключением денежных обязательств по публичным нормативным обязательствам, осуществляется в пределах доведенных до получателя бюджетных средств местного бюджета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финансирования.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Документами, подтверждающими возникновение денежного обязательства, являются: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поставке товаров: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товарная накладная и счет-фактура;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приемки-передачи и счет-фактура, 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передаточный акт;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выполнении работ, оказании услуг: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 (оказанных услуг);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 на оплату, 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счет-фактура;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передаточный акт;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документы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документы, подтверждающие возникновение денежных обязательств).</w:t>
      </w:r>
    </w:p>
    <w:p w:rsidR="00504384" w:rsidRPr="00C528D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Сметная стоимость проектов на капитальный ремонт и строительство зданий и сооружений до их утверждения подлежит согласованию с </w:t>
      </w:r>
      <w:r w:rsidR="00DA6391"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наделенным полномочиями по проведению государственной экспертизы проектной документации, государственной экспертизы результатов инженерных изысканий и проверки достоверности определения сметной стоимости на территории Ленинградской области</w:t>
      </w:r>
      <w:r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иной организацией, уполномоченной на проведение экспертизы в соответствии с нормативными правовыми актами Российской Федерации и </w:t>
      </w:r>
      <w:r w:rsidR="00306970"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504384" w:rsidRPr="00C528D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391"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C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_______ рублей».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</w:t>
      </w:r>
      <w:r w:rsid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обслуживания не позднее представления Заявки на оплату денежного обязательства по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Получатель средств местного бюджета представляет в финансов</w:t>
      </w:r>
      <w:r w:rsid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504384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 w:bidi="ru-RU"/>
        </w:rPr>
        <w:t>4. Санкционирование оплаты денежных обязательств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28. 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а) муниципальный контракт (договор) на поставку товаров (выполнение работ, оказание услуг);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29.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30. Главный </w:t>
      </w:r>
      <w:r w:rsidR="0030697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специалист - главный </w:t>
      </w:r>
      <w:r w:rsidRPr="0050438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бухгалтер проверяет документы на соответствие их лимитам бюджетных обязательств, бюджетным сметам и готовит документы необходимые для оплаты. Оплата денежных обязательств не может превышать лимиты финансирования, установленные для получателей средств местного бюджета и предельные объемы финансирования, установленные для получателей средств местного бюджета в соответствующем периоде финансового года.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504384" w:rsidRPr="00504384" w:rsidRDefault="00504384" w:rsidP="0050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 Подтверждение исполнения денежных обязательств</w:t>
      </w: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4384" w:rsidRPr="00504384" w:rsidRDefault="00504384" w:rsidP="0050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sz w:val="28"/>
          <w:szCs w:val="28"/>
          <w:lang w:eastAsia="ru-RU" w:bidi="ru-RU"/>
        </w:rPr>
      </w:pPr>
    </w:p>
    <w:p w:rsidR="00504384" w:rsidRPr="00306970" w:rsidRDefault="00504384" w:rsidP="005043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</w:t>
      </w:r>
      <w:r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306970"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Колтушское</w:t>
      </w:r>
      <w:r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306970"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306970"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Всеволожского муниципального района Ленинградской области</w:t>
      </w:r>
      <w:r w:rsidRPr="0030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32. 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5" w:name="sub_6"/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утверждения </w:t>
      </w:r>
      <w:r w:rsidR="00412657" w:rsidRPr="004126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на </w:t>
      </w:r>
      <w:r w:rsid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(Решением о внесении изменений в Решение о бюджете на текущий </w:t>
      </w:r>
      <w:r w:rsidR="0030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при совместном упоминании - Решения) или в случаях, установленных бюджетным законодательством Российской Федерации.</w:t>
      </w:r>
    </w:p>
    <w:p w:rsidR="00504384" w:rsidRPr="00504384" w:rsidRDefault="00504384" w:rsidP="00504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"/>
      <w:bookmarkEnd w:id="5"/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bookmarkStart w:id="7" w:name="sub_8"/>
      <w:bookmarkEnd w:id="6"/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"Электронный бюджет" факта получения Уведомления в течение трех рабочих дней со дня его направления </w:t>
      </w:r>
      <w:r w:rsidR="00412657" w:rsidRPr="00412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 МО Колтушское СП</w:t>
      </w:r>
      <w:r w:rsidRPr="005043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7"/>
    <w:p w:rsidR="00504384" w:rsidRPr="00504384" w:rsidRDefault="00504384" w:rsidP="0050438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04384" w:rsidRPr="00504384" w:rsidRDefault="00504384" w:rsidP="0050438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b/>
          <w:color w:val="22272F"/>
          <w:sz w:val="28"/>
          <w:szCs w:val="19"/>
          <w:lang w:eastAsia="ru-RU"/>
        </w:rPr>
        <w:t>7. Порядок исполнения бюджета по источникам финансирования дефицита бюджета поселения.</w:t>
      </w:r>
    </w:p>
    <w:p w:rsidR="00504384" w:rsidRPr="00504384" w:rsidRDefault="00504384" w:rsidP="0041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34. 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</w:t>
      </w:r>
      <w:r w:rsidRPr="00306970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открытых </w:t>
      </w:r>
      <w:r w:rsidR="00412657" w:rsidRPr="00412657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r w:rsidRPr="00306970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дминистрации </w:t>
      </w:r>
      <w:r w:rsidR="00306970" w:rsidRPr="0030697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306970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504384" w:rsidRPr="00504384" w:rsidRDefault="00504384" w:rsidP="0041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35. 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504384" w:rsidRPr="00504384" w:rsidRDefault="00504384" w:rsidP="0041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Исполнение бюджета </w:t>
      </w:r>
      <w:r w:rsidR="00306970" w:rsidRPr="0030697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lastRenderedPageBreak/>
        <w:t xml:space="preserve">проведения кассовых выплат из бюджета </w:t>
      </w:r>
      <w:r w:rsidR="00306970" w:rsidRPr="00306970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306970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504384" w:rsidRPr="00504384" w:rsidRDefault="00504384" w:rsidP="0041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36. Основанием для принятия бюджетных обязательств по источникам финансирования дефицита бюджета могут являться: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- муниципальные займы, осуществляемые путем выпуска муниципальных ценных бумаг от имени </w:t>
      </w:r>
      <w:r w:rsidR="00306970" w:rsidRPr="00306970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;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- кредиты, полученные от кредитных организаций;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- бюджетные ссуды и бюджетные кредиты, полученные от бюджетов других уровней бюджетной системы РФ;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- договоры о предоставлении бюджетных кредитов из бюджета </w:t>
      </w:r>
      <w:r w:rsidR="00306970" w:rsidRPr="00306970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;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- договоры о предоставлении муниципальных гарантий от имени </w:t>
      </w:r>
      <w:r w:rsidR="00B56D6F" w:rsidRPr="00B56D6F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и иные документы, предусматривающие исполнение обязательств по предоставленным муниципальным гарантиям.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37. Подтверждение денежных обязательств по источникам финансирования дефицита бюджета осуществляется в пределах доведенных до администратора источников финансирования дефицита бюджета бюджетных ассигнований.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38. Санкционирование оплаты денежных обязательств осуществляется в соответствии с Порядком санкционирования оплаты денежных обязательств главного распорядителя средств бюджета и администраторов источников финансирования дефицита бюджета поселения.</w:t>
      </w:r>
    </w:p>
    <w:p w:rsidR="00504384" w:rsidRPr="00504384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19"/>
          <w:lang w:eastAsia="ru-RU"/>
        </w:rPr>
        <w:t>39. 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Подтверждение исполнения денежных обязательств по источникам финансирования дефицита бюджета осуществляется </w:t>
      </w:r>
      <w:r w:rsidR="00765118" w:rsidRPr="00765118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территориальным орган</w:t>
      </w:r>
      <w:r w:rsidR="00765118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>ом</w:t>
      </w:r>
      <w:r w:rsidR="00765118" w:rsidRPr="00765118">
        <w:rPr>
          <w:rFonts w:ascii="Times New Roman" w:eastAsia="Times New Roman" w:hAnsi="Times New Roman" w:cs="Times New Roman"/>
          <w:color w:val="22272F"/>
          <w:sz w:val="28"/>
          <w:szCs w:val="28"/>
          <w:lang w:eastAsia="ru-RU" w:bidi="ru-RU"/>
        </w:rPr>
        <w:t xml:space="preserve"> Федерального казначейства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на основании платежных документов, подтверждающих списание денежных средств  с единого счета бюджета </w:t>
      </w:r>
      <w:r w:rsidR="00B56D6F" w:rsidRPr="00B5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56D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43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</w:p>
    <w:p w:rsidR="00504384" w:rsidRPr="00B56D6F" w:rsidRDefault="00504384" w:rsidP="000C3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Операции по исполнению бюджета </w:t>
      </w:r>
      <w:r w:rsidR="00B56D6F" w:rsidRPr="00B5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56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 завершаются 31 декабря текущего финансового года.</w:t>
      </w:r>
    </w:p>
    <w:p w:rsidR="00044A48" w:rsidRDefault="00044A48" w:rsidP="000C3D1E">
      <w:pPr>
        <w:spacing w:after="0"/>
      </w:pPr>
    </w:p>
    <w:sectPr w:rsidR="00044A48" w:rsidSect="0060460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C"/>
    <w:rsid w:val="00044A48"/>
    <w:rsid w:val="00057F96"/>
    <w:rsid w:val="00083B66"/>
    <w:rsid w:val="000A1781"/>
    <w:rsid w:val="000C3D1E"/>
    <w:rsid w:val="000D635D"/>
    <w:rsid w:val="001A18D2"/>
    <w:rsid w:val="00274EFE"/>
    <w:rsid w:val="00306970"/>
    <w:rsid w:val="003712E6"/>
    <w:rsid w:val="003B0681"/>
    <w:rsid w:val="00412657"/>
    <w:rsid w:val="004860B6"/>
    <w:rsid w:val="00504384"/>
    <w:rsid w:val="0060460D"/>
    <w:rsid w:val="00765118"/>
    <w:rsid w:val="007D0C46"/>
    <w:rsid w:val="008F3B8C"/>
    <w:rsid w:val="00B56D6F"/>
    <w:rsid w:val="00C528D4"/>
    <w:rsid w:val="00D82031"/>
    <w:rsid w:val="00D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73956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566.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5366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Zam</cp:lastModifiedBy>
  <cp:revision>2</cp:revision>
  <cp:lastPrinted>2020-05-06T07:59:00Z</cp:lastPrinted>
  <dcterms:created xsi:type="dcterms:W3CDTF">2020-05-15T09:54:00Z</dcterms:created>
  <dcterms:modified xsi:type="dcterms:W3CDTF">2020-05-15T09:54:00Z</dcterms:modified>
</cp:coreProperties>
</file>