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ПЕРЕЧЕНЬ ВОПРОСОВ 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о ходе реализации в федеральном округе </w:t>
      </w:r>
      <w:r w:rsidRPr="000518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ar-SA"/>
        </w:rPr>
        <w:t>мероприятий по противодействию коррупции</w:t>
      </w:r>
      <w:r w:rsidRPr="000518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ar-SA"/>
        </w:rPr>
        <w:footnoteReference w:id="1"/>
      </w:r>
    </w:p>
    <w:p w:rsidR="00051897" w:rsidRPr="00051897" w:rsidRDefault="00051897" w:rsidP="00051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Штатная численность и укомплектованность подразделений (должностных лиц) по профилактике коррупционных и иных правонарушений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Внесите в таблицу количественные показатели: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709"/>
        <w:gridCol w:w="850"/>
        <w:gridCol w:w="709"/>
        <w:gridCol w:w="1134"/>
        <w:gridCol w:w="851"/>
      </w:tblGrid>
      <w:tr w:rsidR="00051897" w:rsidRPr="00051897" w:rsidTr="00AF6B9C">
        <w:tc>
          <w:tcPr>
            <w:tcW w:w="4395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570"/>
        </w:trPr>
        <w:tc>
          <w:tcPr>
            <w:tcW w:w="709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лиц с опытом работы в данной сфере свыше 3 лет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41"/>
        <w:gridCol w:w="1985"/>
        <w:gridCol w:w="992"/>
        <w:gridCol w:w="709"/>
        <w:gridCol w:w="850"/>
        <w:gridCol w:w="709"/>
        <w:gridCol w:w="1134"/>
        <w:gridCol w:w="851"/>
      </w:tblGrid>
      <w:tr w:rsidR="00051897" w:rsidRPr="00051897" w:rsidTr="00AF6B9C">
        <w:tc>
          <w:tcPr>
            <w:tcW w:w="4395" w:type="dxa"/>
            <w:gridSpan w:val="4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640" w:type="dxa"/>
            <w:gridSpan w:val="10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640" w:type="dxa"/>
            <w:gridSpan w:val="10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</w:t>
            </w: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410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640" w:type="dxa"/>
            <w:gridSpan w:val="10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 них уволено за несоблюдение: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269" w:type="dxa"/>
            <w:gridSpan w:val="2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640" w:type="dxa"/>
            <w:gridSpan w:val="10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гражданами, замещавшими должности государственной (//муниципальной)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Выявлено нарушений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gridSpan w:val="4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"/>
        <w:gridCol w:w="425"/>
        <w:gridCol w:w="2093"/>
        <w:gridCol w:w="992"/>
        <w:gridCol w:w="709"/>
        <w:gridCol w:w="850"/>
        <w:gridCol w:w="709"/>
        <w:gridCol w:w="1134"/>
        <w:gridCol w:w="851"/>
      </w:tblGrid>
      <w:tr w:rsidR="00051897" w:rsidRPr="00051897" w:rsidTr="00AF6B9C">
        <w:tc>
          <w:tcPr>
            <w:tcW w:w="4395" w:type="dxa"/>
            <w:gridSpan w:val="4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 них проведенные на основе информации </w:t>
            </w:r>
            <w:proofErr w:type="gram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</w:t>
            </w:r>
            <w:proofErr w:type="gram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02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материалов направленных в правоохранительные органы для проведения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доследственных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проверок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77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 результатам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доследственных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возбужденных уголовных дел 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IV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Количество должностей служащих с высоким риском коррупционных проявлений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709"/>
        <w:gridCol w:w="850"/>
        <w:gridCol w:w="709"/>
        <w:gridCol w:w="1134"/>
        <w:gridCol w:w="851"/>
      </w:tblGrid>
      <w:tr w:rsidR="00051897" w:rsidRPr="00051897" w:rsidTr="00AF6B9C">
        <w:tc>
          <w:tcPr>
            <w:tcW w:w="4395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39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992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V. Проверка обращений о коррупционных правонарушениях государственных (муниципальных) служащих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2"/>
        <w:gridCol w:w="850"/>
        <w:gridCol w:w="709"/>
        <w:gridCol w:w="851"/>
        <w:gridCol w:w="708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горячая линия 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иное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рассмотренных обращений</w:t>
            </w: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3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возбужденных уголовных дел</w:t>
            </w: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VI. Ответственность служащих за совершение коррупционных правонарушений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83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дисциплинарной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административной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уголовной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наказанием в виде штрафа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843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реальным лишением свободы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Увольнение в связи с утратой доверия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 уволенных в связи с утратой доверия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следующим основаниям:</w:t>
            </w: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участие служащего на платной основе в деятельности органа управления коммерческой организации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осуществление служащим предпринимательской деятельности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иным основаниям, указанным в законе: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 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поступивших уведомлений служащих о фактах обращений в целях склонения их к </w:t>
            </w: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462"/>
        </w:trPr>
        <w:tc>
          <w:tcPr>
            <w:tcW w:w="1985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рассмотрения: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rPr>
          <w:trHeight w:val="462"/>
        </w:trPr>
        <w:tc>
          <w:tcPr>
            <w:tcW w:w="1985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возбуждено уголовных дел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985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привлечено к уголовной ответственности лиц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администрации МО Колтушское СП нормативный правовой акт,  регламентирующий порядок уведомления муниципальными служащими главы администрации об обращениях в целях склонения к совершению коррупционных правонарушений находится в стадии разработки. </w:t>
      </w:r>
    </w:p>
    <w:p w:rsidR="00051897" w:rsidRPr="00051897" w:rsidRDefault="00051897" w:rsidP="00051897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IX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Уведомление служащими представителя нанимателя об иной оплачиваемой работе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3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количество служащих 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276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которые уведомили об иной оплачиваемой работе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2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 не уведомивших (несвоевременно уведомивших) при фактическом выполнении иной оплачиваемой деятельности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410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26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 Ротация служащих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XI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. Антикоррупционная экспертиза 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Исключено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факторов, выявленных в нормативных правовых актах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Исключено </w:t>
            </w:r>
            <w:proofErr w:type="spellStart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коррупциогенных</w:t>
            </w:r>
            <w:proofErr w:type="spellEnd"/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факторов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2.1. Проекты нормативно-правовых актов направляются для проведения антикоррупционной экспертизы в органы прокуратуры и размещаются с целью проведения независимой антикоррупционной экспертизы на официальном сайте МО в сети «Интернет».</w:t>
      </w:r>
    </w:p>
    <w:p w:rsidR="00051897" w:rsidRPr="00051897" w:rsidRDefault="00051897" w:rsidP="00051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2.2.Случаев не устранения </w:t>
      </w:r>
      <w:proofErr w:type="spellStart"/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коррупциогенных</w:t>
      </w:r>
      <w:proofErr w:type="spellEnd"/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факторов, выявленных в процессе антикоррупционной экспертизы, не имеется.</w:t>
      </w:r>
    </w:p>
    <w:p w:rsidR="00051897" w:rsidRPr="00051897" w:rsidRDefault="00051897" w:rsidP="00051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Независимая антикоррупционная экспертиза*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5"/>
        <w:gridCol w:w="2126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4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552" w:type="dxa"/>
            <w:gridSpan w:val="3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служащих, прошедших обучение в отчетный период: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руководители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помощники (советники)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обеспечивающие специалисты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560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118" w:type="dxa"/>
            <w:gridSpan w:val="3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служащих, в функциональные обязанности </w:t>
            </w: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В каких формах проходило обучение служащих в отчетный период:</w:t>
            </w: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первоначальная подготовка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профессиональная переподготовка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стажировка</w:t>
            </w:r>
          </w:p>
        </w:tc>
        <w:tc>
          <w:tcPr>
            <w:tcW w:w="851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V. Правовое и антикоррупционное просвещение служащих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560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11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560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560" w:type="dxa"/>
            <w:vMerge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консультации служащих на тему антикоррупционного поведения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2. Стенды, отражающие актуальные вопросы профилактики и противодействия коррупции, отсутствуют.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институтами гражданского общества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ind w:left="66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51897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</w:t>
      </w:r>
      <w:r w:rsidRPr="00051897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ar-SA"/>
        </w:rPr>
        <w:t> </w:t>
      </w:r>
      <w:r w:rsidRPr="00051897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976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3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gridSpan w:val="2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Формы взаимодействия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общественных объединений и организаций с органами государственной власти и местного самоуправления:</w:t>
            </w: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общественных объединений и организаций, представители которых привлечены к работе по совершенствованию антикоррупционного </w:t>
            </w: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законодательства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685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заседания советов по противодействию коррупции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3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40" w:lineRule="exact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  <w:t xml:space="preserve">    2. Информация в области противодействия коррупции (в том числе проекты НПА) размещается на официальном сайте МО в сети «Интернет» и в газете «Колтушский вестник».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телепрограммах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радиопрограммах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печатных изданиях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телепрограммы, фильмы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радиопрограммы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печатные издания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социальная реклама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сайты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формы распространения информации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Создание многофункциональных центров для предоставления гражданам и организациям государственных и муниципальных услуг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МФЦ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государственных услуг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государственных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муниципальных услуг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60" w:lineRule="exact"/>
        <w:ind w:firstLine="660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Факты недружественного поглощения имущества, земельных комплексов и прав собственности (</w:t>
      </w:r>
      <w:proofErr w:type="spellStart"/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рейдерство</w:t>
      </w:r>
      <w:proofErr w:type="spellEnd"/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)</w:t>
      </w:r>
    </w:p>
    <w:p w:rsidR="00051897" w:rsidRPr="00051897" w:rsidRDefault="00051897" w:rsidP="000518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уголовных дел возбужденных по данным фактам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276" w:type="dxa"/>
            <w:vMerge w:val="restart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уголовных дел направленных в суд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1276" w:type="dxa"/>
            <w:vMerge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0518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 Бюджетные средства, затраченные на реализацию программ (планов) по противодействию коррупции</w:t>
      </w: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051897" w:rsidRPr="00051897" w:rsidTr="00AF6B9C">
        <w:trPr>
          <w:trHeight w:val="953"/>
        </w:trPr>
        <w:tc>
          <w:tcPr>
            <w:tcW w:w="4678" w:type="dxa"/>
            <w:gridSpan w:val="2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51897" w:rsidRPr="00051897" w:rsidTr="00AF6B9C">
        <w:tc>
          <w:tcPr>
            <w:tcW w:w="4678" w:type="dxa"/>
            <w:gridSpan w:val="2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Общая сумма бюджетных средств выделенных субъектам Российской Федерации, находящимся в пределах федерального округа 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51897" w:rsidRPr="00051897" w:rsidTr="00AF6B9C">
        <w:tc>
          <w:tcPr>
            <w:tcW w:w="993" w:type="dxa"/>
            <w:shd w:val="clear" w:color="auto" w:fill="F3F3F3"/>
            <w:vAlign w:val="center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сумма бюджетных средств затраченных на реализацию программ (планов) по противодействию коррупции</w:t>
            </w:r>
          </w:p>
        </w:tc>
        <w:tc>
          <w:tcPr>
            <w:tcW w:w="851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518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51897" w:rsidRPr="00051897" w:rsidRDefault="00051897" w:rsidP="00051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51897" w:rsidRPr="00051897" w:rsidRDefault="00051897" w:rsidP="00051897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XX.</w:t>
      </w:r>
      <w:r w:rsidRPr="00051897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051897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Совершенствование работы в области противодействия коррупции </w:t>
      </w:r>
    </w:p>
    <w:p w:rsidR="00051897" w:rsidRPr="00051897" w:rsidRDefault="00051897" w:rsidP="00051897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1.1.</w:t>
      </w:r>
      <w:r w:rsidRPr="000518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>В администрации МО Колтушское СП проведены мероприятия по совершенствованию системы учета государственного и муниципального имущества и оценки эффективности его использования, следующее: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 проводится техническая инвентаризация объектов недвижимого имущества на территории МО;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 проводится межевание и постановка на кадастровый учет земельных участков, находящихся под объектами  муниципальной собственности;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 регистрация права на объекты недвижимости и земельные участки;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 постановка на учет бесхозяйного недвижимого  имущества.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051897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                                               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2356485</wp:posOffset>
                </wp:positionV>
                <wp:extent cx="4279265" cy="876300"/>
                <wp:effectExtent l="4445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79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897" w:rsidRDefault="00051897" w:rsidP="0005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.45pt;margin-top:185.55pt;width:336.95pt;height:6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9lrgIAACEFAAAOAAAAZHJzL2Uyb0RvYy54bWysVMtu1DAU3SPxD5b30zzIPBI1U/XBIKQC&#10;lQrsPYkzsXBsY3sm0yIkJLZIfAIfwQbx6Ddk/ohrp51OgQVCZOH4+j58z73nev9g3XC0otowKXIc&#10;7YUYUVHIkolFjl88nw0mGBlLREm4FDTHF9Tgg+n9e/utymgsa8lLqhEEESZrVY5ra1UWBKaoaUPM&#10;nlRUgLKSuiEWRL0ISk1aiN7wIA7DUdBKXSotC2oMnJ70Sjz18auKFvZZVRlqEc8x5Gb9qv06d2sw&#10;3SfZQhNVs+I6DfIPWTSECbh0G+qEWIKWmv0WqmGFlkZWdq+QTSCrihXUYwA0UfgLmvOaKOqxQHGM&#10;2pbJ/L+wxdPVmUashN5hJEgDLeo+bd5tPnbfu6vN++5zd9V923zofnRfuq8ocvVqlcnA7VydaYfY&#10;qFNZvDJIyOOaiAU91Fq2NSUlZOntgzsOTjDgiubtE1nCdWRppS/dutINqjhTL52jCw3lQWvfq4tt&#10;r+jaogIOk3icxqMhRgXoJuPRg9A3MyCZi+O8lTb2EZUNcpsca+CCj0pWp8YCDjC9MfE4JGfljHHu&#10;Bb2YH3ONVgR4M/Ofgw4uZteMC2cspHPr1f0JJAl3OJ1L1/PgTRrFSXgUp4PZaDIeJLNkOEjH4WQQ&#10;RulROgqTNDmZvXUJRklWs7Kk4pQJesPJKPm7nl9PR88mz0rU5jgdxkOP/U72Zhdk6L8/gWyYhRHl&#10;rIE6b41I5lr8UJQAm2SWMN7vg7vp+5JBDW7+viqeEI4DPZfser6GKI4Yc1leADW0hH7BtMK7Apta&#10;6kuMWpjRHJvXS6IpRvyxAHqlUZK4ofZCMhzHIOhdzXxXQ0QBoXJsMeq3x7Z/CJZKs0UNN/WsE/IQ&#10;KFkxz5HbrACCE2AOPZjrN8MN+q7srW5ftulPAAAA//8DAFBLAwQUAAYACAAAACEA/SeqSOEAAAAL&#10;AQAADwAAAGRycy9kb3ducmV2LnhtbEyPwU7DMBBE70j8g7VIXBC1A6UlIU6FkDiUUymVUG9uvCQh&#10;8TqK3Sb8PdsTHEf7NPsmX02uEyccQuNJQzJTIJBKbxuqNOw+Xm8fQYRoyJrOE2r4wQCr4vIiN5n1&#10;I73jaRsrwSUUMqOhjrHPpAxljc6Eme+R+PblB2cix6GSdjAjl7tO3im1kM40xB9q0+NLjWW7PToN&#10;4816P/+c48bvNmNLb2pv2++11tdX0/MTiIhT/IPhrM/qULDTwR/JBtFxThYpoxrul0kCgollqnjM&#10;QcODShOQRS7/byh+AQAA//8DAFBLAQItABQABgAIAAAAIQC2gziS/gAAAOEBAAATAAAAAAAAAAAA&#10;AAAAAAAAAABbQ29udGVudF9UeXBlc10ueG1sUEsBAi0AFAAGAAgAAAAhADj9If/WAAAAlAEAAAsA&#10;AAAAAAAAAAAAAAAALwEAAF9yZWxzLy5yZWxzUEsBAi0AFAAGAAgAAAAhAOWzn2WuAgAAIQUAAA4A&#10;AAAAAAAAAAAAAAAALgIAAGRycy9lMm9Eb2MueG1sUEsBAi0AFAAGAAgAAAAhAP0nqkjhAAAACwEA&#10;AA8AAAAAAAAAAAAAAAAACAUAAGRycy9kb3ducmV2LnhtbFBLBQYAAAAABAAEAPMAAAAWBgAAAAA=&#10;" stroked="f">
                <v:textbox>
                  <w:txbxContent>
                    <w:p w:rsidR="00051897" w:rsidRDefault="00051897" w:rsidP="00051897"/>
                  </w:txbxContent>
                </v:textbox>
              </v:rect>
            </w:pict>
          </mc:Fallback>
        </mc:AlternateContent>
      </w:r>
      <w:r w:rsidRPr="0005189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1.2. С целью совершенствования условий, процедур и  механизмов муниципальных закупок администрацией создана контрактная служба, большая часть закупок осуществляется в форме электронного аукциона. </w:t>
      </w:r>
    </w:p>
    <w:p w:rsidR="00051897" w:rsidRPr="00051897" w:rsidRDefault="00051897" w:rsidP="00051897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E1D61" w:rsidRDefault="00DE1D61">
      <w:bookmarkStart w:id="0" w:name="_GoBack"/>
      <w:bookmarkEnd w:id="0"/>
    </w:p>
    <w:sectPr w:rsidR="00DE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A" w:rsidRDefault="004963EA" w:rsidP="00051897">
      <w:pPr>
        <w:spacing w:after="0" w:line="240" w:lineRule="auto"/>
      </w:pPr>
      <w:r>
        <w:separator/>
      </w:r>
    </w:p>
  </w:endnote>
  <w:endnote w:type="continuationSeparator" w:id="0">
    <w:p w:rsidR="004963EA" w:rsidRDefault="004963EA" w:rsidP="0005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A" w:rsidRDefault="004963EA" w:rsidP="00051897">
      <w:pPr>
        <w:spacing w:after="0" w:line="240" w:lineRule="auto"/>
      </w:pPr>
      <w:r>
        <w:separator/>
      </w:r>
    </w:p>
  </w:footnote>
  <w:footnote w:type="continuationSeparator" w:id="0">
    <w:p w:rsidR="004963EA" w:rsidRDefault="004963EA" w:rsidP="00051897">
      <w:pPr>
        <w:spacing w:after="0" w:line="240" w:lineRule="auto"/>
      </w:pPr>
      <w:r>
        <w:continuationSeparator/>
      </w:r>
    </w:p>
  </w:footnote>
  <w:footnote w:id="1">
    <w:p w:rsidR="00051897" w:rsidRDefault="00051897" w:rsidP="00051897">
      <w:pPr>
        <w:pStyle w:val="aff"/>
        <w:jc w:val="both"/>
      </w:pPr>
      <w:r>
        <w:rPr>
          <w:rStyle w:val="aff1"/>
        </w:rPr>
        <w:footnoteRef/>
      </w:r>
      <w:r>
        <w:t> </w:t>
      </w:r>
      <w:r w:rsidRPr="00DB3F61">
        <w:rPr>
          <w:b/>
          <w:bCs/>
        </w:rPr>
        <w:t>Ответы на перечень вопросов представляются как за федеральный округ в целом, так и за каждый субъект Российской Федерации, находящийся в пределах данного федерального округа;</w:t>
      </w:r>
    </w:p>
  </w:footnote>
  <w:footnote w:id="2">
    <w:p w:rsidR="00051897" w:rsidRDefault="00051897" w:rsidP="00051897">
      <w:pPr>
        <w:pStyle w:val="aff"/>
      </w:pPr>
      <w:r>
        <w:rPr>
          <w:rStyle w:val="aff1"/>
        </w:rPr>
        <w:footnoteRef/>
      </w:r>
      <w:r>
        <w:t> Органы государственной власти;</w:t>
      </w:r>
    </w:p>
  </w:footnote>
  <w:footnote w:id="3">
    <w:p w:rsidR="00051897" w:rsidRDefault="00051897" w:rsidP="00051897">
      <w:pPr>
        <w:pStyle w:val="aff"/>
      </w:pPr>
      <w:r>
        <w:rPr>
          <w:rStyle w:val="aff1"/>
        </w:rPr>
        <w:footnoteRef/>
      </w:r>
      <w:r>
        <w:t> Органы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2C0E5466"/>
    <w:multiLevelType w:val="multilevel"/>
    <w:tmpl w:val="5E30C2E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cs="Times New Roman" w:hint="default"/>
      </w:rPr>
    </w:lvl>
  </w:abstractNum>
  <w:abstractNum w:abstractNumId="6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4F77D65"/>
    <w:multiLevelType w:val="hybridMultilevel"/>
    <w:tmpl w:val="DAA68F90"/>
    <w:lvl w:ilvl="0" w:tplc="1E3C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6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7"/>
    <w:rsid w:val="00051897"/>
    <w:rsid w:val="004963EA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51897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0518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18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189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189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51897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1897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0518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0518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05189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051897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051897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51897"/>
  </w:style>
  <w:style w:type="character" w:customStyle="1" w:styleId="WW8Num2z0">
    <w:name w:val="WW8Num2z0"/>
    <w:rsid w:val="00051897"/>
    <w:rPr>
      <w:rFonts w:ascii="Symbol" w:hAnsi="Symbol"/>
    </w:rPr>
  </w:style>
  <w:style w:type="character" w:customStyle="1" w:styleId="Absatz-Standardschriftart">
    <w:name w:val="Absatz-Standardschriftart"/>
    <w:rsid w:val="00051897"/>
  </w:style>
  <w:style w:type="character" w:customStyle="1" w:styleId="WW-Absatz-Standardschriftart">
    <w:name w:val="WW-Absatz-Standardschriftart"/>
    <w:rsid w:val="00051897"/>
  </w:style>
  <w:style w:type="character" w:customStyle="1" w:styleId="WW-Absatz-Standardschriftart1">
    <w:name w:val="WW-Absatz-Standardschriftart1"/>
    <w:rsid w:val="00051897"/>
  </w:style>
  <w:style w:type="character" w:customStyle="1" w:styleId="WW8Num1z0">
    <w:name w:val="WW8Num1z0"/>
    <w:rsid w:val="00051897"/>
    <w:rPr>
      <w:rFonts w:ascii="Symbol" w:hAnsi="Symbol"/>
    </w:rPr>
  </w:style>
  <w:style w:type="character" w:customStyle="1" w:styleId="WW8Num3z0">
    <w:name w:val="WW8Num3z0"/>
    <w:rsid w:val="00051897"/>
    <w:rPr>
      <w:rFonts w:ascii="Symbol" w:hAnsi="Symbol"/>
    </w:rPr>
  </w:style>
  <w:style w:type="character" w:customStyle="1" w:styleId="WW8Num4z0">
    <w:name w:val="WW8Num4z0"/>
    <w:rsid w:val="00051897"/>
    <w:rPr>
      <w:rFonts w:ascii="Wingdings" w:hAnsi="Wingdings"/>
    </w:rPr>
  </w:style>
  <w:style w:type="character" w:customStyle="1" w:styleId="WW8Num5z0">
    <w:name w:val="WW8Num5z0"/>
    <w:rsid w:val="00051897"/>
    <w:rPr>
      <w:rFonts w:ascii="Times New Roman" w:hAnsi="Times New Roman" w:cs="Times New Roman"/>
    </w:rPr>
  </w:style>
  <w:style w:type="character" w:customStyle="1" w:styleId="WW8Num6z0">
    <w:name w:val="WW8Num6z0"/>
    <w:rsid w:val="00051897"/>
    <w:rPr>
      <w:rFonts w:ascii="Symbol" w:hAnsi="Symbol"/>
    </w:rPr>
  </w:style>
  <w:style w:type="character" w:customStyle="1" w:styleId="WW8Num8z0">
    <w:name w:val="WW8Num8z0"/>
    <w:rsid w:val="00051897"/>
    <w:rPr>
      <w:rFonts w:ascii="Wingdings" w:hAnsi="Wingdings"/>
    </w:rPr>
  </w:style>
  <w:style w:type="character" w:customStyle="1" w:styleId="WW8NumSt3z0">
    <w:name w:val="WW8NumSt3z0"/>
    <w:rsid w:val="00051897"/>
    <w:rPr>
      <w:rFonts w:ascii="Arial" w:hAnsi="Arial"/>
      <w:sz w:val="22"/>
    </w:rPr>
  </w:style>
  <w:style w:type="character" w:customStyle="1" w:styleId="12">
    <w:name w:val="Основной шрифт абзаца1"/>
    <w:rsid w:val="00051897"/>
  </w:style>
  <w:style w:type="character" w:styleId="a4">
    <w:name w:val="Emphasis"/>
    <w:qFormat/>
    <w:rsid w:val="00051897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05189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051897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05189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0518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18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051897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051897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051897"/>
    <w:pPr>
      <w:spacing w:before="0"/>
    </w:pPr>
  </w:style>
  <w:style w:type="paragraph" w:customStyle="1" w:styleId="ab">
    <w:name w:val="Название предприятия"/>
    <w:basedOn w:val="a"/>
    <w:rsid w:val="00051897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051897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051897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051897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051897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051897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0518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518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051897"/>
    <w:pPr>
      <w:spacing w:before="0"/>
    </w:pPr>
  </w:style>
  <w:style w:type="paragraph" w:customStyle="1" w:styleId="af3">
    <w:name w:val="Инициалы"/>
    <w:basedOn w:val="a"/>
    <w:next w:val="a"/>
    <w:rsid w:val="00051897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051897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051897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051897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051897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051897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0518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518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05189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051897"/>
  </w:style>
  <w:style w:type="paragraph" w:styleId="afa">
    <w:name w:val="List Paragraph"/>
    <w:basedOn w:val="a"/>
    <w:uiPriority w:val="34"/>
    <w:qFormat/>
    <w:rsid w:val="00051897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05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0518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051897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051897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05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05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051897"/>
    <w:rPr>
      <w:rFonts w:cs="Times New Roman"/>
      <w:vertAlign w:val="superscript"/>
    </w:rPr>
  </w:style>
  <w:style w:type="character" w:styleId="aff2">
    <w:name w:val="page number"/>
    <w:uiPriority w:val="99"/>
    <w:rsid w:val="00051897"/>
    <w:rPr>
      <w:rFonts w:cs="Times New Roman"/>
    </w:rPr>
  </w:style>
  <w:style w:type="paragraph" w:styleId="22">
    <w:name w:val="Body Text 2"/>
    <w:basedOn w:val="a"/>
    <w:link w:val="23"/>
    <w:uiPriority w:val="99"/>
    <w:rsid w:val="00051897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05189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0518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051897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051897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051897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51897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0518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18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189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189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51897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1897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0518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0518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05189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051897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051897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51897"/>
  </w:style>
  <w:style w:type="character" w:customStyle="1" w:styleId="WW8Num2z0">
    <w:name w:val="WW8Num2z0"/>
    <w:rsid w:val="00051897"/>
    <w:rPr>
      <w:rFonts w:ascii="Symbol" w:hAnsi="Symbol"/>
    </w:rPr>
  </w:style>
  <w:style w:type="character" w:customStyle="1" w:styleId="Absatz-Standardschriftart">
    <w:name w:val="Absatz-Standardschriftart"/>
    <w:rsid w:val="00051897"/>
  </w:style>
  <w:style w:type="character" w:customStyle="1" w:styleId="WW-Absatz-Standardschriftart">
    <w:name w:val="WW-Absatz-Standardschriftart"/>
    <w:rsid w:val="00051897"/>
  </w:style>
  <w:style w:type="character" w:customStyle="1" w:styleId="WW-Absatz-Standardschriftart1">
    <w:name w:val="WW-Absatz-Standardschriftart1"/>
    <w:rsid w:val="00051897"/>
  </w:style>
  <w:style w:type="character" w:customStyle="1" w:styleId="WW8Num1z0">
    <w:name w:val="WW8Num1z0"/>
    <w:rsid w:val="00051897"/>
    <w:rPr>
      <w:rFonts w:ascii="Symbol" w:hAnsi="Symbol"/>
    </w:rPr>
  </w:style>
  <w:style w:type="character" w:customStyle="1" w:styleId="WW8Num3z0">
    <w:name w:val="WW8Num3z0"/>
    <w:rsid w:val="00051897"/>
    <w:rPr>
      <w:rFonts w:ascii="Symbol" w:hAnsi="Symbol"/>
    </w:rPr>
  </w:style>
  <w:style w:type="character" w:customStyle="1" w:styleId="WW8Num4z0">
    <w:name w:val="WW8Num4z0"/>
    <w:rsid w:val="00051897"/>
    <w:rPr>
      <w:rFonts w:ascii="Wingdings" w:hAnsi="Wingdings"/>
    </w:rPr>
  </w:style>
  <w:style w:type="character" w:customStyle="1" w:styleId="WW8Num5z0">
    <w:name w:val="WW8Num5z0"/>
    <w:rsid w:val="00051897"/>
    <w:rPr>
      <w:rFonts w:ascii="Times New Roman" w:hAnsi="Times New Roman" w:cs="Times New Roman"/>
    </w:rPr>
  </w:style>
  <w:style w:type="character" w:customStyle="1" w:styleId="WW8Num6z0">
    <w:name w:val="WW8Num6z0"/>
    <w:rsid w:val="00051897"/>
    <w:rPr>
      <w:rFonts w:ascii="Symbol" w:hAnsi="Symbol"/>
    </w:rPr>
  </w:style>
  <w:style w:type="character" w:customStyle="1" w:styleId="WW8Num8z0">
    <w:name w:val="WW8Num8z0"/>
    <w:rsid w:val="00051897"/>
    <w:rPr>
      <w:rFonts w:ascii="Wingdings" w:hAnsi="Wingdings"/>
    </w:rPr>
  </w:style>
  <w:style w:type="character" w:customStyle="1" w:styleId="WW8NumSt3z0">
    <w:name w:val="WW8NumSt3z0"/>
    <w:rsid w:val="00051897"/>
    <w:rPr>
      <w:rFonts w:ascii="Arial" w:hAnsi="Arial"/>
      <w:sz w:val="22"/>
    </w:rPr>
  </w:style>
  <w:style w:type="character" w:customStyle="1" w:styleId="12">
    <w:name w:val="Основной шрифт абзаца1"/>
    <w:rsid w:val="00051897"/>
  </w:style>
  <w:style w:type="character" w:styleId="a4">
    <w:name w:val="Emphasis"/>
    <w:qFormat/>
    <w:rsid w:val="00051897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05189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051897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05189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0518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18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051897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051897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051897"/>
    <w:pPr>
      <w:spacing w:before="0"/>
    </w:pPr>
  </w:style>
  <w:style w:type="paragraph" w:customStyle="1" w:styleId="ab">
    <w:name w:val="Название предприятия"/>
    <w:basedOn w:val="a"/>
    <w:rsid w:val="00051897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051897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051897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051897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051897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051897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051897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0518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518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051897"/>
    <w:pPr>
      <w:spacing w:before="0"/>
    </w:pPr>
  </w:style>
  <w:style w:type="paragraph" w:customStyle="1" w:styleId="af3">
    <w:name w:val="Инициалы"/>
    <w:basedOn w:val="a"/>
    <w:next w:val="a"/>
    <w:rsid w:val="00051897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051897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051897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051897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051897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051897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0518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518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05189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051897"/>
  </w:style>
  <w:style w:type="paragraph" w:styleId="afa">
    <w:name w:val="List Paragraph"/>
    <w:basedOn w:val="a"/>
    <w:uiPriority w:val="34"/>
    <w:qFormat/>
    <w:rsid w:val="00051897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05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05189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051897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051897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05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05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051897"/>
    <w:rPr>
      <w:rFonts w:cs="Times New Roman"/>
      <w:vertAlign w:val="superscript"/>
    </w:rPr>
  </w:style>
  <w:style w:type="character" w:styleId="aff2">
    <w:name w:val="page number"/>
    <w:uiPriority w:val="99"/>
    <w:rsid w:val="00051897"/>
    <w:rPr>
      <w:rFonts w:cs="Times New Roman"/>
    </w:rPr>
  </w:style>
  <w:style w:type="paragraph" w:styleId="22">
    <w:name w:val="Body Text 2"/>
    <w:basedOn w:val="a"/>
    <w:link w:val="23"/>
    <w:uiPriority w:val="99"/>
    <w:rsid w:val="00051897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05189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0518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051897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051897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05189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2015-12-08T13:30:00Z</dcterms:created>
  <dcterms:modified xsi:type="dcterms:W3CDTF">2015-12-08T13:31:00Z</dcterms:modified>
</cp:coreProperties>
</file>