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003C04"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26.02.2020</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97</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tbl>
      <w:tblPr>
        <w:tblpPr w:leftFromText="180" w:rightFromText="180" w:vertAnchor="text" w:horzAnchor="margin" w:tblpY="107"/>
        <w:tblW w:w="0" w:type="auto"/>
        <w:tblLayout w:type="fixed"/>
        <w:tblLook w:val="0000" w:firstRow="0" w:lastRow="0" w:firstColumn="0" w:lastColumn="0" w:noHBand="0" w:noVBand="0"/>
      </w:tblPr>
      <w:tblGrid>
        <w:gridCol w:w="5536"/>
      </w:tblGrid>
      <w:tr w:rsidR="004F5DF7" w:rsidRPr="002A014A" w:rsidTr="00003C04">
        <w:trPr>
          <w:trHeight w:val="1045"/>
        </w:trPr>
        <w:tc>
          <w:tcPr>
            <w:tcW w:w="5536" w:type="dxa"/>
          </w:tcPr>
          <w:p w:rsidR="0019510A" w:rsidRDefault="000F12E6" w:rsidP="00003C04">
            <w:pPr>
              <w:widowControl w:val="0"/>
              <w:suppressAutoHyphens/>
              <w:ind w:left="360" w:firstLine="0"/>
              <w:jc w:val="both"/>
              <w:rPr>
                <w:color w:val="000000"/>
                <w:szCs w:val="28"/>
              </w:rPr>
            </w:pPr>
            <w:r w:rsidRPr="002E41FC">
              <w:rPr>
                <w:color w:val="000000"/>
                <w:szCs w:val="28"/>
              </w:rPr>
              <w:t xml:space="preserve">О внесении изменений в постановление </w:t>
            </w:r>
            <w:r>
              <w:rPr>
                <w:color w:val="000000"/>
                <w:szCs w:val="28"/>
              </w:rPr>
              <w:t>администрации № 797</w:t>
            </w:r>
            <w:r w:rsidRPr="00106CC1">
              <w:rPr>
                <w:color w:val="000000"/>
                <w:szCs w:val="28"/>
              </w:rPr>
              <w:t xml:space="preserve"> от 1</w:t>
            </w:r>
            <w:r w:rsidR="00901E3F">
              <w:rPr>
                <w:color w:val="000000"/>
                <w:szCs w:val="28"/>
              </w:rPr>
              <w:t>3.11.2019</w:t>
            </w:r>
            <w:r>
              <w:rPr>
                <w:color w:val="000000"/>
                <w:szCs w:val="28"/>
              </w:rPr>
              <w:t xml:space="preserve"> года</w:t>
            </w:r>
          </w:p>
          <w:p w:rsidR="0019510A" w:rsidRPr="002A014A" w:rsidRDefault="0019510A" w:rsidP="00003C04">
            <w:pPr>
              <w:widowControl w:val="0"/>
              <w:suppressAutoHyphens/>
              <w:ind w:firstLine="0"/>
              <w:jc w:val="both"/>
              <w:rPr>
                <w:rFonts w:eastAsia="Arial Unicode MS" w:cs="Times New Roman"/>
                <w:color w:val="000000"/>
                <w:kern w:val="1"/>
                <w:szCs w:val="28"/>
                <w:lang w:eastAsia="ru-RU"/>
              </w:rPr>
            </w:pP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95541F" w:rsidRDefault="0095541F" w:rsidP="000F12E6">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2A014A" w:rsidRPr="0095541F" w:rsidRDefault="00E7511D" w:rsidP="0095541F">
      <w:pPr>
        <w:widowControl w:val="0"/>
        <w:suppressAutoHyphens/>
        <w:ind w:left="426" w:firstLine="283"/>
        <w:jc w:val="both"/>
        <w:rPr>
          <w:rFonts w:eastAsia="Arial Unicode MS" w:cs="Times New Roman"/>
          <w:color w:val="FF0000"/>
          <w:kern w:val="1"/>
          <w:szCs w:val="28"/>
          <w:lang w:eastAsia="ru-RU"/>
        </w:rPr>
      </w:pPr>
      <w:r>
        <w:rPr>
          <w:color w:val="000000"/>
          <w:szCs w:val="28"/>
        </w:rPr>
        <w:t xml:space="preserve">   </w:t>
      </w:r>
      <w:r w:rsidR="0095541F">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95541F" w:rsidRPr="00FB52B6">
        <w:rPr>
          <w:szCs w:val="28"/>
        </w:rPr>
        <w:t xml:space="preserve">от </w:t>
      </w:r>
      <w:r w:rsidR="000F12E6">
        <w:rPr>
          <w:szCs w:val="28"/>
        </w:rPr>
        <w:t>31.10.2017 № 64 (с изменениями</w:t>
      </w:r>
      <w:r w:rsidR="0095541F">
        <w:rPr>
          <w:szCs w:val="28"/>
        </w:rPr>
        <w:t xml:space="preserve">), </w:t>
      </w:r>
      <w:r w:rsidR="000F12E6">
        <w:rPr>
          <w:szCs w:val="28"/>
        </w:rPr>
        <w:t xml:space="preserve">решением совета депутатов № </w:t>
      </w:r>
      <w:r w:rsidR="00901E3F">
        <w:rPr>
          <w:szCs w:val="28"/>
        </w:rPr>
        <w:t xml:space="preserve">55 </w:t>
      </w:r>
      <w:r w:rsidR="000F12E6">
        <w:rPr>
          <w:szCs w:val="28"/>
        </w:rPr>
        <w:t xml:space="preserve">от  </w:t>
      </w:r>
      <w:r w:rsidR="00901E3F">
        <w:rPr>
          <w:szCs w:val="28"/>
        </w:rPr>
        <w:t>09.12.</w:t>
      </w:r>
      <w:r w:rsidR="000F12E6">
        <w:rPr>
          <w:szCs w:val="28"/>
        </w:rPr>
        <w:t>2019 года «О бюджете муниципального образования Колтушское сельское поселение Всеволожского муниципального района Ленинградской области на 2020 год»</w:t>
      </w:r>
      <w:r w:rsidR="0095541F" w:rsidRPr="00414883">
        <w:rPr>
          <w:color w:val="000000"/>
          <w:szCs w:val="28"/>
        </w:rPr>
        <w:t xml:space="preserve">, </w:t>
      </w:r>
      <w:r w:rsidR="002A014A" w:rsidRPr="002A014A">
        <w:rPr>
          <w:rFonts w:eastAsia="Arial Unicode MS" w:cs="Times New Roman"/>
          <w:color w:val="000000"/>
          <w:kern w:val="1"/>
          <w:szCs w:val="28"/>
          <w:lang w:eastAsia="ru-RU"/>
        </w:rPr>
        <w:t xml:space="preserve">                                       </w:t>
      </w:r>
    </w:p>
    <w:p w:rsidR="002A014A" w:rsidRDefault="002A014A" w:rsidP="009F6ED1">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C625D0" w:rsidRPr="002A014A" w:rsidRDefault="00C625D0" w:rsidP="009F6ED1">
      <w:pPr>
        <w:widowControl w:val="0"/>
        <w:suppressAutoHyphens/>
        <w:jc w:val="both"/>
        <w:rPr>
          <w:rFonts w:eastAsia="Arial Unicode MS" w:cs="Times New Roman"/>
          <w:color w:val="000000"/>
          <w:kern w:val="1"/>
          <w:szCs w:val="28"/>
          <w:lang w:eastAsia="ru-RU"/>
        </w:rPr>
      </w:pPr>
    </w:p>
    <w:p w:rsidR="00E7511D" w:rsidRPr="00C625D0" w:rsidRDefault="00E7511D" w:rsidP="00E7511D">
      <w:pPr>
        <w:widowControl w:val="0"/>
        <w:suppressAutoHyphens/>
        <w:ind w:left="426" w:firstLine="0"/>
        <w:jc w:val="both"/>
        <w:rPr>
          <w:rFonts w:eastAsia="Arial Unicode MS" w:cs="Times New Roman"/>
          <w:color w:val="000000"/>
          <w:kern w:val="1"/>
          <w:szCs w:val="28"/>
          <w:lang w:eastAsia="ru-RU"/>
        </w:rPr>
      </w:pPr>
      <w:r>
        <w:rPr>
          <w:color w:val="000000"/>
          <w:szCs w:val="28"/>
        </w:rPr>
        <w:t xml:space="preserve">   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№797 от 13.11.2019 года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Pr>
          <w:color w:val="000000"/>
          <w:szCs w:val="28"/>
        </w:rPr>
        <w:t xml:space="preserve"> (с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E7511D" w:rsidRDefault="00E7511D" w:rsidP="00E7511D">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1.1.</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p>
    <w:p w:rsidR="00E7511D" w:rsidRPr="00C625D0" w:rsidRDefault="00E7511D" w:rsidP="00E7511D">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E7511D" w:rsidRDefault="00E7511D" w:rsidP="00E7511D">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2</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новление на официальном сайте муниципального</w:t>
      </w:r>
    </w:p>
    <w:p w:rsidR="00E7511D" w:rsidRDefault="00E7511D" w:rsidP="00E7511D">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образования  Колтушское сельское поселение Всеволожского муниципального     </w:t>
      </w:r>
    </w:p>
    <w:p w:rsidR="00E7511D" w:rsidRPr="00C625D0" w:rsidRDefault="00E7511D" w:rsidP="00E7511D">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района Ленинградской области</w:t>
      </w:r>
      <w:r w:rsidRPr="00C625D0">
        <w:rPr>
          <w:rFonts w:eastAsia="Arial Unicode MS" w:cs="Times New Roman"/>
          <w:color w:val="000000"/>
          <w:kern w:val="1"/>
          <w:szCs w:val="28"/>
          <w:lang w:eastAsia="ru-RU"/>
        </w:rPr>
        <w:t>.</w:t>
      </w:r>
    </w:p>
    <w:p w:rsidR="00E7511D" w:rsidRDefault="00E7511D" w:rsidP="00E7511D">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3</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4F5DF7" w:rsidRDefault="004F5DF7" w:rsidP="004F5DF7">
      <w:pPr>
        <w:widowControl w:val="0"/>
        <w:suppressAutoHyphens/>
        <w:jc w:val="both"/>
        <w:rPr>
          <w:rFonts w:eastAsia="Arial Unicode MS" w:cs="Times New Roman"/>
          <w:color w:val="000000"/>
          <w:kern w:val="1"/>
          <w:szCs w:val="28"/>
          <w:lang w:eastAsia="ru-RU"/>
        </w:rPr>
      </w:pPr>
    </w:p>
    <w:p w:rsidR="008B6C12" w:rsidRDefault="008B6C12" w:rsidP="008B6C12">
      <w:pPr>
        <w:widowControl w:val="0"/>
        <w:suppressAutoHyphens/>
        <w:ind w:firstLine="0"/>
        <w:jc w:val="both"/>
        <w:rPr>
          <w:rFonts w:eastAsia="Arial Unicode MS" w:cs="Times New Roman"/>
          <w:color w:val="000000"/>
          <w:kern w:val="1"/>
          <w:szCs w:val="28"/>
          <w:lang w:eastAsia="ru-RU"/>
        </w:rPr>
      </w:pPr>
    </w:p>
    <w:p w:rsidR="00C65536" w:rsidRPr="0095541F" w:rsidRDefault="00E7511D" w:rsidP="0095541F">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Глава администрации                              </w:t>
      </w:r>
      <w:r w:rsidR="004F5DF7">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E7511D" w:rsidRDefault="00E7511D" w:rsidP="009F6ED1">
      <w:pPr>
        <w:ind w:left="4536"/>
        <w:jc w:val="right"/>
        <w:rPr>
          <w:sz w:val="26"/>
          <w:szCs w:val="26"/>
        </w:rPr>
      </w:pPr>
    </w:p>
    <w:p w:rsidR="00E7511D" w:rsidRDefault="00E7511D" w:rsidP="009F6ED1">
      <w:pPr>
        <w:ind w:left="4536"/>
        <w:jc w:val="right"/>
        <w:rPr>
          <w:sz w:val="26"/>
          <w:szCs w:val="26"/>
        </w:rPr>
      </w:pPr>
    </w:p>
    <w:p w:rsidR="00E7511D" w:rsidRDefault="00E7511D"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003C04">
        <w:rPr>
          <w:sz w:val="26"/>
          <w:szCs w:val="26"/>
          <w:u w:val="single"/>
        </w:rPr>
        <w:t>97</w:t>
      </w:r>
      <w:r>
        <w:rPr>
          <w:sz w:val="26"/>
          <w:szCs w:val="26"/>
        </w:rPr>
        <w:t xml:space="preserve"> от</w:t>
      </w:r>
      <w:r w:rsidR="007E61DF">
        <w:rPr>
          <w:sz w:val="26"/>
          <w:szCs w:val="26"/>
        </w:rPr>
        <w:t xml:space="preserve"> </w:t>
      </w:r>
      <w:r w:rsidR="00003C04">
        <w:rPr>
          <w:sz w:val="26"/>
          <w:szCs w:val="26"/>
          <w:u w:val="single"/>
        </w:rPr>
        <w:t>26.02.2020</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8B6C12" w:rsidP="002A014A">
      <w:pPr>
        <w:ind w:left="426" w:firstLine="0"/>
        <w:jc w:val="center"/>
        <w:rPr>
          <w:b/>
          <w:szCs w:val="28"/>
        </w:rPr>
      </w:pPr>
    </w:p>
    <w:p w:rsidR="0095541F" w:rsidRDefault="0095541F" w:rsidP="00003C04">
      <w:pPr>
        <w:pStyle w:val="ConsPlusNormal"/>
        <w:ind w:firstLine="0"/>
        <w:rPr>
          <w:rFonts w:ascii="Times New Roman" w:hAnsi="Times New Roman" w:cs="Times New Roman"/>
          <w:b/>
          <w:bCs/>
          <w:sz w:val="28"/>
          <w:szCs w:val="28"/>
        </w:rPr>
      </w:pPr>
      <w:bookmarkStart w:id="0" w:name="_GoBack"/>
      <w:bookmarkEnd w:id="0"/>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7423DD" w:rsidRDefault="0095541F" w:rsidP="004D4C35">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w:t>
            </w:r>
            <w:r w:rsidRPr="007423DD">
              <w:rPr>
                <w:rFonts w:cs="Times New Roman"/>
                <w:sz w:val="24"/>
                <w:szCs w:val="24"/>
                <w:bdr w:val="none" w:sz="0" w:space="0" w:color="auto" w:frame="1"/>
              </w:rPr>
              <w:lastRenderedPageBreak/>
              <w:t xml:space="preserve">доступным и комфортным жильем и </w:t>
            </w:r>
            <w:r>
              <w:rPr>
                <w:rFonts w:cs="Times New Roman"/>
                <w:sz w:val="24"/>
                <w:szCs w:val="24"/>
                <w:bdr w:val="none" w:sz="0" w:space="0" w:color="auto" w:frame="1"/>
              </w:rPr>
              <w:t>коммунальными услугами 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Pr="007423DD"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E7511D" w:rsidRPr="00BD47EF" w:rsidRDefault="00E7511D" w:rsidP="00E7511D">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E7511D" w:rsidRDefault="00E7511D" w:rsidP="004D4C35">
            <w:pPr>
              <w:jc w:val="both"/>
              <w:rPr>
                <w:rFonts w:cs="Times New Roman"/>
                <w:sz w:val="24"/>
                <w:szCs w:val="24"/>
              </w:rPr>
            </w:pPr>
          </w:p>
          <w:p w:rsidR="0095541F" w:rsidRPr="00BD47EF" w:rsidRDefault="0095541F" w:rsidP="001E5F6F">
            <w:pPr>
              <w:ind w:firstLine="0"/>
              <w:jc w:val="both"/>
              <w:rPr>
                <w:rFonts w:cs="Times New Roman"/>
                <w:sz w:val="24"/>
                <w:szCs w:val="24"/>
              </w:rPr>
            </w:pP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w:t>
            </w:r>
            <w:r w:rsidRPr="00BD47EF">
              <w:rPr>
                <w:rFonts w:cs="Times New Roman"/>
                <w:sz w:val="24"/>
                <w:szCs w:val="24"/>
              </w:rPr>
              <w:lastRenderedPageBreak/>
              <w:t>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95541F" w:rsidRPr="00BD47EF">
              <w:rPr>
                <w:rFonts w:ascii="Times New Roman" w:hAnsi="Times New Roman" w:cs="Times New Roman"/>
                <w:sz w:val="24"/>
                <w:szCs w:val="24"/>
                <w:lang w:eastAsia="en-US"/>
              </w:rPr>
              <w:t xml:space="preserve">)Приобретение в муниципальную собственность жилых </w:t>
            </w:r>
            <w:r w:rsidR="0095541F" w:rsidRPr="00BD47EF">
              <w:rPr>
                <w:rFonts w:ascii="Times New Roman" w:hAnsi="Times New Roman" w:cs="Times New Roman"/>
                <w:sz w:val="24"/>
                <w:szCs w:val="24"/>
                <w:lang w:eastAsia="en-US"/>
              </w:rPr>
              <w:lastRenderedPageBreak/>
              <w:t>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0F7F9F" w:rsidRDefault="000F7F9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3) Колличество </w:t>
            </w:r>
            <w:r w:rsidRPr="00BD47EF">
              <w:rPr>
                <w:rFonts w:ascii="Times New Roman" w:hAnsi="Times New Roman" w:cs="Times New Roman"/>
                <w:sz w:val="24"/>
                <w:szCs w:val="24"/>
                <w:lang w:eastAsia="en-US"/>
              </w:rPr>
              <w:t>обследованного жилого фонда на предмет аварийности, единиц.</w:t>
            </w:r>
          </w:p>
          <w:p w:rsidR="0095541F" w:rsidRPr="00BD47EF" w:rsidRDefault="000F7F9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9C2190" w:rsidRDefault="0095541F" w:rsidP="004D4C35">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C2190" w:rsidRDefault="001F1460" w:rsidP="004D4C35">
            <w:pPr>
              <w:ind w:firstLine="0"/>
              <w:rPr>
                <w:rFonts w:cs="Times New Roman"/>
                <w:bCs/>
                <w:sz w:val="24"/>
                <w:szCs w:val="24"/>
                <w:lang w:eastAsia="ru-RU"/>
              </w:rPr>
            </w:pPr>
            <w:r>
              <w:rPr>
                <w:bCs/>
                <w:sz w:val="24"/>
                <w:szCs w:val="24"/>
              </w:rPr>
              <w:t>15 355 582,50</w:t>
            </w:r>
            <w:r w:rsidR="0095541F" w:rsidRPr="009C2190">
              <w:rPr>
                <w:rFonts w:cs="Times New Roman"/>
                <w:bCs/>
                <w:sz w:val="24"/>
                <w:szCs w:val="24"/>
                <w:lang w:eastAsia="ru-RU"/>
              </w:rPr>
              <w:t xml:space="preserve"> </w:t>
            </w:r>
            <w:r w:rsidR="0095541F" w:rsidRPr="009C2190">
              <w:rPr>
                <w:sz w:val="24"/>
                <w:szCs w:val="24"/>
              </w:rPr>
              <w:t xml:space="preserve">рублей, в том числе: </w:t>
            </w:r>
          </w:p>
          <w:p w:rsidR="0095541F" w:rsidRPr="009C2190" w:rsidRDefault="0095541F" w:rsidP="004D4C35">
            <w:pPr>
              <w:ind w:firstLine="0"/>
              <w:rPr>
                <w:sz w:val="24"/>
                <w:szCs w:val="24"/>
                <w:lang w:eastAsia="hi-IN" w:bidi="hi-IN"/>
              </w:rPr>
            </w:pPr>
          </w:p>
          <w:p w:rsidR="0095541F" w:rsidRPr="009C2190"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3C702B">
              <w:rPr>
                <w:rFonts w:cs="Times New Roman"/>
                <w:sz w:val="24"/>
                <w:szCs w:val="24"/>
              </w:rPr>
              <w:t>15</w:t>
            </w:r>
            <w:r w:rsidR="003C702B">
              <w:rPr>
                <w:bCs/>
                <w:sz w:val="24"/>
                <w:szCs w:val="24"/>
              </w:rPr>
              <w:t> 355 582</w:t>
            </w:r>
            <w:r w:rsidR="00AB47B6">
              <w:rPr>
                <w:bCs/>
                <w:sz w:val="24"/>
                <w:szCs w:val="24"/>
              </w:rPr>
              <w:t>,5</w:t>
            </w:r>
            <w:r w:rsidRPr="009C2190">
              <w:rPr>
                <w:bCs/>
                <w:sz w:val="24"/>
                <w:szCs w:val="24"/>
              </w:rPr>
              <w:t>0</w:t>
            </w:r>
            <w:r w:rsidRPr="009C2190">
              <w:rPr>
                <w:rFonts w:cs="Times New Roman"/>
                <w:sz w:val="24"/>
                <w:szCs w:val="24"/>
              </w:rPr>
              <w:t xml:space="preserve"> руб.</w:t>
            </w:r>
          </w:p>
          <w:p w:rsidR="0095541F" w:rsidRPr="000F7F9F" w:rsidRDefault="0095541F" w:rsidP="004D4C35">
            <w:pPr>
              <w:ind w:firstLine="0"/>
              <w:rPr>
                <w:iCs/>
                <w:sz w:val="24"/>
                <w:szCs w:val="24"/>
              </w:rPr>
            </w:pPr>
            <w:r w:rsidRPr="009C2190">
              <w:rPr>
                <w:sz w:val="24"/>
                <w:szCs w:val="24"/>
                <w:lang w:eastAsia="hi-IN" w:bidi="hi-IN"/>
              </w:rPr>
              <w:t xml:space="preserve">Из бюджета Ленинградской области </w:t>
            </w:r>
            <w:r w:rsidRPr="00471CFB">
              <w:rPr>
                <w:sz w:val="24"/>
                <w:szCs w:val="24"/>
                <w:lang w:eastAsia="hi-IN" w:bidi="hi-IN"/>
              </w:rPr>
              <w:t>–</w:t>
            </w:r>
            <w:r w:rsidR="000F7F9F">
              <w:rPr>
                <w:iCs/>
                <w:sz w:val="24"/>
                <w:szCs w:val="24"/>
              </w:rPr>
              <w:t xml:space="preserve"> </w:t>
            </w:r>
            <w:r w:rsidR="000F7F9F">
              <w:rPr>
                <w:sz w:val="24"/>
                <w:szCs w:val="24"/>
              </w:rPr>
              <w:t>1 944 199</w:t>
            </w:r>
            <w:r w:rsidR="000F7F9F" w:rsidRPr="000F7F9F">
              <w:rPr>
                <w:sz w:val="24"/>
                <w:szCs w:val="24"/>
              </w:rPr>
              <w:t>,8</w:t>
            </w:r>
            <w:r w:rsidR="000F7F9F">
              <w:rPr>
                <w:sz w:val="24"/>
                <w:szCs w:val="24"/>
              </w:rPr>
              <w:t>3</w:t>
            </w:r>
            <w:r w:rsidR="000F7F9F" w:rsidRPr="000F7F9F">
              <w:rPr>
                <w:sz w:val="24"/>
                <w:szCs w:val="24"/>
              </w:rPr>
              <w:t xml:space="preserve"> </w:t>
            </w:r>
            <w:r w:rsidR="001B1D0D" w:rsidRPr="000F7F9F">
              <w:rPr>
                <w:iCs/>
                <w:sz w:val="24"/>
                <w:szCs w:val="24"/>
              </w:rPr>
              <w:t xml:space="preserve"> </w:t>
            </w:r>
            <w:r w:rsidR="00AB47B6" w:rsidRPr="000F7F9F">
              <w:rPr>
                <w:sz w:val="24"/>
                <w:szCs w:val="24"/>
                <w:lang w:eastAsia="hi-IN" w:bidi="hi-IN"/>
              </w:rPr>
              <w:t>руб</w:t>
            </w:r>
            <w:r w:rsidR="00AB47B6" w:rsidRPr="009C2190">
              <w:rPr>
                <w:sz w:val="24"/>
                <w:szCs w:val="24"/>
                <w:lang w:eastAsia="hi-IN" w:bidi="hi-IN"/>
              </w:rPr>
              <w:t>.</w:t>
            </w:r>
          </w:p>
          <w:p w:rsidR="0095541F" w:rsidRPr="009C2190" w:rsidRDefault="0095541F" w:rsidP="004D4C35">
            <w:pPr>
              <w:ind w:firstLine="0"/>
              <w:rPr>
                <w:sz w:val="24"/>
                <w:szCs w:val="24"/>
                <w:lang w:eastAsia="hi-IN" w:bidi="hi-IN"/>
              </w:rPr>
            </w:pPr>
            <w:r w:rsidRPr="009C2190">
              <w:rPr>
                <w:sz w:val="24"/>
                <w:szCs w:val="24"/>
                <w:lang w:eastAsia="hi-IN" w:bidi="hi-IN"/>
              </w:rPr>
              <w:t>И</w:t>
            </w:r>
            <w:r>
              <w:rPr>
                <w:sz w:val="24"/>
                <w:szCs w:val="24"/>
                <w:lang w:eastAsia="hi-IN" w:bidi="hi-IN"/>
              </w:rPr>
              <w:t>з федерального бюджета –</w:t>
            </w:r>
            <w:r w:rsidR="000F7F9F">
              <w:rPr>
                <w:iCs/>
                <w:sz w:val="24"/>
                <w:szCs w:val="24"/>
              </w:rPr>
              <w:t xml:space="preserve"> 192 329,97</w:t>
            </w:r>
            <w:r w:rsidR="00AB47B6">
              <w:rPr>
                <w:iCs/>
                <w:sz w:val="24"/>
                <w:szCs w:val="24"/>
              </w:rPr>
              <w:t xml:space="preserve">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lastRenderedPageBreak/>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0F7F9F">
        <w:trPr>
          <w:trHeight w:val="702"/>
        </w:trPr>
        <w:tc>
          <w:tcPr>
            <w:tcW w:w="576"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0F7F9F">
        <w:tc>
          <w:tcPr>
            <w:tcW w:w="9361"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0F7F9F">
        <w:tc>
          <w:tcPr>
            <w:tcW w:w="9361"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0F7F9F">
        <w:tc>
          <w:tcPr>
            <w:tcW w:w="576"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95541F" w:rsidRPr="00122AF9" w:rsidRDefault="001E5F6F" w:rsidP="004D4C35">
            <w:pPr>
              <w:tabs>
                <w:tab w:val="left" w:pos="5940"/>
              </w:tabs>
              <w:ind w:firstLine="0"/>
              <w:jc w:val="center"/>
              <w:rPr>
                <w:sz w:val="24"/>
                <w:szCs w:val="24"/>
              </w:rPr>
            </w:pPr>
            <w:r>
              <w:rPr>
                <w:sz w:val="24"/>
                <w:szCs w:val="24"/>
              </w:rPr>
              <w:t>5</w:t>
            </w:r>
            <w:r w:rsidR="0095541F" w:rsidRPr="00122AF9">
              <w:rPr>
                <w:sz w:val="24"/>
                <w:szCs w:val="24"/>
              </w:rPr>
              <w:t>0 000,00</w:t>
            </w:r>
          </w:p>
        </w:tc>
        <w:tc>
          <w:tcPr>
            <w:tcW w:w="1697"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0F7F9F">
        <w:tc>
          <w:tcPr>
            <w:tcW w:w="576"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Признание жилого дома аварийным – независимая 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1E5F6F">
            <w:pPr>
              <w:ind w:firstLine="0"/>
              <w:rPr>
                <w:sz w:val="24"/>
                <w:szCs w:val="24"/>
              </w:rPr>
            </w:pPr>
            <w:r>
              <w:rPr>
                <w:sz w:val="24"/>
                <w:szCs w:val="24"/>
              </w:rPr>
              <w:t xml:space="preserve">   100 000,00</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0F7F9F">
        <w:tc>
          <w:tcPr>
            <w:tcW w:w="9361"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0F7F9F">
        <w:tc>
          <w:tcPr>
            <w:tcW w:w="576"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2" w:type="dxa"/>
          </w:tcPr>
          <w:p w:rsidR="0095541F" w:rsidRDefault="0095541F" w:rsidP="004D4C35">
            <w:pPr>
              <w:ind w:firstLine="0"/>
              <w:jc w:val="center"/>
              <w:rPr>
                <w:sz w:val="24"/>
                <w:szCs w:val="24"/>
              </w:rPr>
            </w:pPr>
          </w:p>
          <w:p w:rsidR="000F7F9F" w:rsidRPr="000F7F9F" w:rsidRDefault="000F7F9F" w:rsidP="000F7F9F">
            <w:pPr>
              <w:ind w:firstLine="0"/>
              <w:jc w:val="center"/>
              <w:rPr>
                <w:rFonts w:cs="Times New Roman"/>
                <w:sz w:val="24"/>
                <w:szCs w:val="24"/>
                <w:lang w:eastAsia="ru-RU"/>
              </w:rPr>
            </w:pPr>
            <w:r w:rsidRPr="000F7F9F">
              <w:rPr>
                <w:sz w:val="24"/>
                <w:szCs w:val="24"/>
              </w:rPr>
              <w:t xml:space="preserve">14 477 156,00 </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4D6B2F" w:rsidRPr="00122AF9" w:rsidTr="000F7F9F">
        <w:tc>
          <w:tcPr>
            <w:tcW w:w="9361" w:type="dxa"/>
            <w:gridSpan w:val="5"/>
          </w:tcPr>
          <w:p w:rsidR="004D6B2F" w:rsidRDefault="001E5F6F" w:rsidP="004D6B2F">
            <w:pPr>
              <w:ind w:firstLine="0"/>
              <w:rPr>
                <w:rFonts w:cs="Times New Roman"/>
                <w:sz w:val="24"/>
                <w:szCs w:val="24"/>
              </w:rPr>
            </w:pPr>
            <w:r>
              <w:rPr>
                <w:sz w:val="24"/>
                <w:szCs w:val="24"/>
              </w:rPr>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0F7F9F">
        <w:tc>
          <w:tcPr>
            <w:tcW w:w="576"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 xml:space="preserve">семьям,  молодым </w:t>
            </w:r>
            <w:r w:rsidRPr="00BD47EF">
              <w:rPr>
                <w:rFonts w:cs="Times New Roman"/>
                <w:spacing w:val="-6"/>
                <w:sz w:val="24"/>
                <w:szCs w:val="24"/>
              </w:rPr>
              <w:lastRenderedPageBreak/>
              <w:t>семьям и семьям работников  бюджетной сферы</w:t>
            </w:r>
          </w:p>
        </w:tc>
        <w:tc>
          <w:tcPr>
            <w:tcW w:w="1662" w:type="dxa"/>
          </w:tcPr>
          <w:p w:rsidR="004D6B2F" w:rsidRPr="000F7F9F" w:rsidRDefault="0080646A" w:rsidP="000F7F9F">
            <w:pPr>
              <w:pStyle w:val="a7"/>
              <w:numPr>
                <w:ilvl w:val="0"/>
                <w:numId w:val="23"/>
              </w:numPr>
              <w:jc w:val="center"/>
              <w:rPr>
                <w:sz w:val="24"/>
                <w:szCs w:val="24"/>
              </w:rPr>
            </w:pPr>
            <w:r>
              <w:rPr>
                <w:sz w:val="24"/>
                <w:szCs w:val="24"/>
              </w:rPr>
              <w:lastRenderedPageBreak/>
              <w:t xml:space="preserve"> </w:t>
            </w:r>
            <w:r w:rsidR="006075D3" w:rsidRPr="000F7F9F">
              <w:rPr>
                <w:sz w:val="24"/>
                <w:szCs w:val="24"/>
              </w:rPr>
              <w:t>582,50</w:t>
            </w:r>
          </w:p>
        </w:tc>
        <w:tc>
          <w:tcPr>
            <w:tcW w:w="1697" w:type="dxa"/>
          </w:tcPr>
          <w:p w:rsidR="004D6B2F" w:rsidRPr="00122AF9" w:rsidRDefault="0080646A" w:rsidP="004D4C35">
            <w:pPr>
              <w:ind w:firstLine="0"/>
              <w:jc w:val="center"/>
              <w:rPr>
                <w:sz w:val="24"/>
                <w:szCs w:val="24"/>
              </w:rPr>
            </w:pPr>
            <w:r>
              <w:rPr>
                <w:sz w:val="24"/>
                <w:szCs w:val="24"/>
              </w:rPr>
              <w:t>1 944199,83</w:t>
            </w:r>
          </w:p>
        </w:tc>
        <w:tc>
          <w:tcPr>
            <w:tcW w:w="1746" w:type="dxa"/>
          </w:tcPr>
          <w:p w:rsidR="004D6B2F" w:rsidRDefault="0080646A" w:rsidP="004D4C35">
            <w:pPr>
              <w:ind w:firstLine="0"/>
              <w:jc w:val="center"/>
              <w:rPr>
                <w:sz w:val="24"/>
                <w:szCs w:val="24"/>
              </w:rPr>
            </w:pPr>
            <w:r>
              <w:rPr>
                <w:sz w:val="24"/>
                <w:szCs w:val="24"/>
              </w:rPr>
              <w:t>192 329,97</w:t>
            </w:r>
          </w:p>
        </w:tc>
      </w:tr>
      <w:tr w:rsidR="000F7F9F" w:rsidRPr="00122AF9" w:rsidTr="004E7DCB">
        <w:tc>
          <w:tcPr>
            <w:tcW w:w="9361" w:type="dxa"/>
            <w:gridSpan w:val="5"/>
          </w:tcPr>
          <w:p w:rsidR="000F7F9F" w:rsidRPr="000F7F9F" w:rsidRDefault="000F7F9F" w:rsidP="000F7F9F">
            <w:pPr>
              <w:pStyle w:val="a7"/>
              <w:ind w:left="171" w:firstLine="0"/>
              <w:rPr>
                <w:sz w:val="24"/>
                <w:szCs w:val="24"/>
              </w:rPr>
            </w:pPr>
            <w:r>
              <w:rPr>
                <w:sz w:val="24"/>
                <w:szCs w:val="24"/>
              </w:rPr>
              <w:lastRenderedPageBreak/>
              <w:t xml:space="preserve">4. </w:t>
            </w:r>
            <w:r w:rsidRPr="000F7F9F">
              <w:rPr>
                <w:sz w:val="24"/>
                <w:szCs w:val="24"/>
              </w:rPr>
              <w:t xml:space="preserve">Снос расселенных многоквартирных аварийных домов </w:t>
            </w:r>
          </w:p>
        </w:tc>
      </w:tr>
      <w:tr w:rsidR="000F7F9F" w:rsidRPr="00122AF9" w:rsidTr="000F7F9F">
        <w:tc>
          <w:tcPr>
            <w:tcW w:w="576" w:type="dxa"/>
          </w:tcPr>
          <w:p w:rsidR="000F7F9F" w:rsidRDefault="000F7F9F" w:rsidP="004D4C35">
            <w:pPr>
              <w:ind w:firstLine="0"/>
              <w:jc w:val="center"/>
              <w:rPr>
                <w:sz w:val="24"/>
                <w:szCs w:val="24"/>
              </w:rPr>
            </w:pPr>
            <w:r>
              <w:rPr>
                <w:sz w:val="24"/>
                <w:szCs w:val="24"/>
              </w:rPr>
              <w:t>4.1</w:t>
            </w:r>
          </w:p>
        </w:tc>
        <w:tc>
          <w:tcPr>
            <w:tcW w:w="3680" w:type="dxa"/>
          </w:tcPr>
          <w:p w:rsidR="000F7F9F" w:rsidRPr="00BD47EF" w:rsidRDefault="000F7F9F" w:rsidP="004D4C35">
            <w:pPr>
              <w:ind w:firstLine="0"/>
              <w:rPr>
                <w:rFonts w:cs="Times New Roman"/>
                <w:sz w:val="24"/>
                <w:szCs w:val="24"/>
              </w:rPr>
            </w:pPr>
            <w:r w:rsidRPr="000F7F9F">
              <w:rPr>
                <w:sz w:val="24"/>
                <w:szCs w:val="24"/>
              </w:rPr>
              <w:t xml:space="preserve">Снос расселенных многоквартирных аварийных домов по адресу: д. Хапо-Ое, ул. Шоссейная, д.1а, </w:t>
            </w:r>
            <w:r>
              <w:rPr>
                <w:sz w:val="24"/>
                <w:szCs w:val="24"/>
              </w:rPr>
              <w:t>д. Хапо-Ое, ул. Шоссейная, д.1б</w:t>
            </w:r>
          </w:p>
        </w:tc>
        <w:tc>
          <w:tcPr>
            <w:tcW w:w="1662" w:type="dxa"/>
          </w:tcPr>
          <w:p w:rsidR="0080646A" w:rsidRDefault="0080646A" w:rsidP="000F7F9F">
            <w:pPr>
              <w:ind w:firstLine="0"/>
              <w:jc w:val="center"/>
              <w:rPr>
                <w:sz w:val="24"/>
                <w:szCs w:val="24"/>
              </w:rPr>
            </w:pPr>
          </w:p>
          <w:p w:rsidR="0080646A" w:rsidRDefault="0080646A" w:rsidP="000F7F9F">
            <w:pPr>
              <w:ind w:firstLine="0"/>
              <w:jc w:val="center"/>
              <w:rPr>
                <w:sz w:val="24"/>
                <w:szCs w:val="24"/>
              </w:rPr>
            </w:pPr>
          </w:p>
          <w:p w:rsidR="000F7F9F" w:rsidRPr="0080646A" w:rsidRDefault="000F7F9F" w:rsidP="0080646A">
            <w:pPr>
              <w:ind w:firstLine="0"/>
              <w:jc w:val="center"/>
              <w:rPr>
                <w:rFonts w:cs="Times New Roman"/>
                <w:sz w:val="24"/>
                <w:szCs w:val="24"/>
                <w:lang w:eastAsia="ru-RU"/>
              </w:rPr>
            </w:pPr>
            <w:r w:rsidRPr="0080646A">
              <w:rPr>
                <w:sz w:val="24"/>
                <w:szCs w:val="24"/>
              </w:rPr>
              <w:t>522 844,00</w:t>
            </w:r>
          </w:p>
          <w:p w:rsidR="000F7F9F" w:rsidRDefault="000F7F9F" w:rsidP="004D4C35">
            <w:pPr>
              <w:ind w:firstLine="0"/>
              <w:jc w:val="center"/>
              <w:rPr>
                <w:sz w:val="24"/>
                <w:szCs w:val="24"/>
              </w:rPr>
            </w:pPr>
          </w:p>
        </w:tc>
        <w:tc>
          <w:tcPr>
            <w:tcW w:w="1697" w:type="dxa"/>
          </w:tcPr>
          <w:p w:rsidR="000F7F9F" w:rsidRDefault="000F7F9F" w:rsidP="004D4C35">
            <w:pPr>
              <w:ind w:firstLine="0"/>
              <w:jc w:val="center"/>
              <w:rPr>
                <w:sz w:val="24"/>
                <w:szCs w:val="24"/>
              </w:rPr>
            </w:pPr>
          </w:p>
          <w:p w:rsidR="0080646A" w:rsidRDefault="0080646A" w:rsidP="004D4C35">
            <w:pPr>
              <w:ind w:firstLine="0"/>
              <w:jc w:val="center"/>
              <w:rPr>
                <w:sz w:val="24"/>
                <w:szCs w:val="24"/>
              </w:rPr>
            </w:pPr>
          </w:p>
          <w:p w:rsidR="0080646A" w:rsidRPr="00122AF9" w:rsidRDefault="0080646A" w:rsidP="004D4C35">
            <w:pPr>
              <w:ind w:firstLine="0"/>
              <w:jc w:val="center"/>
              <w:rPr>
                <w:sz w:val="24"/>
                <w:szCs w:val="24"/>
              </w:rPr>
            </w:pPr>
            <w:r>
              <w:rPr>
                <w:sz w:val="24"/>
                <w:szCs w:val="24"/>
              </w:rPr>
              <w:t>0</w:t>
            </w:r>
          </w:p>
        </w:tc>
        <w:tc>
          <w:tcPr>
            <w:tcW w:w="1746" w:type="dxa"/>
          </w:tcPr>
          <w:p w:rsidR="000F7F9F" w:rsidRDefault="000F7F9F" w:rsidP="004D4C35">
            <w:pPr>
              <w:ind w:firstLine="0"/>
              <w:jc w:val="center"/>
              <w:rPr>
                <w:sz w:val="24"/>
                <w:szCs w:val="24"/>
              </w:rPr>
            </w:pPr>
          </w:p>
          <w:p w:rsidR="0080646A" w:rsidRDefault="0080646A" w:rsidP="004D4C35">
            <w:pPr>
              <w:ind w:firstLine="0"/>
              <w:jc w:val="center"/>
              <w:rPr>
                <w:sz w:val="24"/>
                <w:szCs w:val="24"/>
              </w:rPr>
            </w:pPr>
          </w:p>
          <w:p w:rsidR="0080646A" w:rsidRDefault="0080646A" w:rsidP="004D4C35">
            <w:pPr>
              <w:ind w:firstLine="0"/>
              <w:jc w:val="center"/>
              <w:rPr>
                <w:sz w:val="24"/>
                <w:szCs w:val="24"/>
              </w:rPr>
            </w:pPr>
            <w:r>
              <w:rPr>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843"/>
        <w:gridCol w:w="2415"/>
      </w:tblGrid>
      <w:tr w:rsidR="0095541F" w:rsidRPr="008A3A4F" w:rsidTr="004D4C35">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4D4C35">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4D4C35">
        <w:tc>
          <w:tcPr>
            <w:tcW w:w="9673" w:type="dxa"/>
            <w:gridSpan w:val="3"/>
          </w:tcPr>
          <w:p w:rsidR="0095541F" w:rsidRPr="008A3A4F" w:rsidRDefault="0095541F" w:rsidP="006075D3">
            <w:pPr>
              <w:rPr>
                <w:b/>
                <w:sz w:val="24"/>
                <w:szCs w:val="24"/>
              </w:rPr>
            </w:pPr>
            <w:r>
              <w:rPr>
                <w:b/>
                <w:sz w:val="24"/>
                <w:szCs w:val="24"/>
              </w:rPr>
              <w:t>Мероприятие 1</w:t>
            </w:r>
            <w:r w:rsidRPr="008A3A4F">
              <w:rPr>
                <w:sz w:val="24"/>
                <w:szCs w:val="24"/>
              </w:rPr>
              <w:t xml:space="preserve">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8A3A4F" w:rsidTr="004D4C35">
        <w:tc>
          <w:tcPr>
            <w:tcW w:w="5415" w:type="dxa"/>
            <w:shd w:val="clear" w:color="auto" w:fill="auto"/>
          </w:tcPr>
          <w:p w:rsidR="0095541F" w:rsidRPr="008A3A4F" w:rsidRDefault="0095541F" w:rsidP="006075D3">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1</w:t>
            </w:r>
          </w:p>
        </w:tc>
      </w:tr>
      <w:tr w:rsidR="0095541F" w:rsidRPr="008A3A4F" w:rsidTr="004D4C35">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BD47EF">
              <w:rPr>
                <w:rFonts w:cs="Times New Roman"/>
                <w:sz w:val="24"/>
                <w:szCs w:val="24"/>
              </w:rPr>
              <w:t>Поддержка граждан</w:t>
            </w:r>
            <w:r w:rsidR="006075D3">
              <w:rPr>
                <w:rFonts w:cs="Times New Roman"/>
                <w:sz w:val="24"/>
                <w:szCs w:val="24"/>
              </w:rPr>
              <w:t xml:space="preserve"> (молодых семей)</w:t>
            </w:r>
            <w:r w:rsidR="006075D3"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4D4C35">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80646A" w:rsidP="004D4C35">
            <w:pPr>
              <w:jc w:val="center"/>
              <w:rPr>
                <w:sz w:val="24"/>
                <w:szCs w:val="24"/>
              </w:rPr>
            </w:pPr>
            <w:r>
              <w:rPr>
                <w:sz w:val="24"/>
                <w:szCs w:val="24"/>
              </w:rPr>
              <w:t>1</w:t>
            </w:r>
          </w:p>
        </w:tc>
      </w:tr>
      <w:tr w:rsidR="001F1460" w:rsidRPr="008A3A4F" w:rsidTr="00A93839">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4D4C35">
        <w:tc>
          <w:tcPr>
            <w:tcW w:w="5415" w:type="dxa"/>
            <w:shd w:val="clear" w:color="auto" w:fill="auto"/>
          </w:tcPr>
          <w:p w:rsidR="001F1460" w:rsidRDefault="007C68C2" w:rsidP="0080646A">
            <w:pPr>
              <w:rPr>
                <w:sz w:val="24"/>
                <w:szCs w:val="24"/>
              </w:rPr>
            </w:pPr>
            <w:r>
              <w:rPr>
                <w:sz w:val="24"/>
                <w:szCs w:val="24"/>
              </w:rPr>
              <w:t>3.1.</w:t>
            </w:r>
            <w:r w:rsidR="001F1460">
              <w:rPr>
                <w:sz w:val="24"/>
                <w:szCs w:val="24"/>
              </w:rPr>
              <w:t>Признание жилого дома аварийным</w:t>
            </w:r>
            <w:r>
              <w:rPr>
                <w:sz w:val="24"/>
                <w:szCs w:val="24"/>
              </w:rPr>
              <w:t>, не пригодным для проживания</w:t>
            </w:r>
            <w:r w:rsidR="001F1460">
              <w:rPr>
                <w:sz w:val="24"/>
                <w:szCs w:val="24"/>
              </w:rPr>
              <w:t xml:space="preserve"> –</w:t>
            </w:r>
            <w:r w:rsidR="0080646A">
              <w:rPr>
                <w:sz w:val="24"/>
                <w:szCs w:val="24"/>
              </w:rPr>
              <w:t xml:space="preserve"> соглашение о передаче</w:t>
            </w:r>
            <w:r w:rsidR="0080646A" w:rsidRPr="0080646A">
              <w:rPr>
                <w:sz w:val="24"/>
                <w:szCs w:val="24"/>
              </w:rPr>
              <w:t xml:space="preserve"> полномочий по признанию жилья аварийным (МВК Всеволожского р-на ЛО)</w:t>
            </w:r>
          </w:p>
        </w:tc>
        <w:tc>
          <w:tcPr>
            <w:tcW w:w="1843" w:type="dxa"/>
            <w:shd w:val="clear" w:color="auto" w:fill="auto"/>
          </w:tcPr>
          <w:p w:rsidR="001F1460" w:rsidRPr="008A3A4F" w:rsidRDefault="007C68C2" w:rsidP="004D4C35">
            <w:pPr>
              <w:jc w:val="center"/>
              <w:rPr>
                <w:sz w:val="24"/>
                <w:szCs w:val="24"/>
              </w:rPr>
            </w:pPr>
            <w:r>
              <w:rPr>
                <w:sz w:val="24"/>
                <w:szCs w:val="24"/>
              </w:rPr>
              <w:t>шт.</w:t>
            </w:r>
          </w:p>
        </w:tc>
        <w:tc>
          <w:tcPr>
            <w:tcW w:w="2415" w:type="dxa"/>
            <w:shd w:val="clear" w:color="auto" w:fill="auto"/>
          </w:tcPr>
          <w:p w:rsidR="001F1460" w:rsidRDefault="007C68C2" w:rsidP="004D4C35">
            <w:pPr>
              <w:jc w:val="center"/>
              <w:rPr>
                <w:sz w:val="24"/>
                <w:szCs w:val="24"/>
              </w:rPr>
            </w:pPr>
            <w:r>
              <w:rPr>
                <w:sz w:val="24"/>
                <w:szCs w:val="24"/>
              </w:rPr>
              <w:t>5</w:t>
            </w:r>
          </w:p>
        </w:tc>
      </w:tr>
      <w:tr w:rsidR="00DC5E0C" w:rsidRPr="008A3A4F" w:rsidTr="0075297F">
        <w:tc>
          <w:tcPr>
            <w:tcW w:w="9673" w:type="dxa"/>
            <w:gridSpan w:val="3"/>
            <w:shd w:val="clear" w:color="auto" w:fill="auto"/>
          </w:tcPr>
          <w:p w:rsidR="00DC5E0C" w:rsidRPr="00DC5E0C" w:rsidRDefault="00DC5E0C" w:rsidP="00DC5E0C">
            <w:pPr>
              <w:rPr>
                <w:b/>
                <w:sz w:val="24"/>
                <w:szCs w:val="24"/>
              </w:rPr>
            </w:pPr>
            <w:r w:rsidRPr="00DC5E0C">
              <w:rPr>
                <w:b/>
                <w:sz w:val="24"/>
                <w:szCs w:val="24"/>
              </w:rPr>
              <w:t>Мероприятие 4. Снос расселенных аварийных домов</w:t>
            </w:r>
          </w:p>
        </w:tc>
      </w:tr>
      <w:tr w:rsidR="00DC5E0C" w:rsidRPr="008A3A4F" w:rsidTr="004D4C35">
        <w:tc>
          <w:tcPr>
            <w:tcW w:w="5415" w:type="dxa"/>
            <w:shd w:val="clear" w:color="auto" w:fill="auto"/>
          </w:tcPr>
          <w:p w:rsidR="00DC5E0C" w:rsidRDefault="00DC5E0C" w:rsidP="0080646A">
            <w:pPr>
              <w:rPr>
                <w:sz w:val="24"/>
                <w:szCs w:val="24"/>
              </w:rPr>
            </w:pPr>
            <w:r>
              <w:rPr>
                <w:sz w:val="24"/>
                <w:szCs w:val="24"/>
              </w:rPr>
              <w:t xml:space="preserve">4.1. </w:t>
            </w:r>
            <w:r w:rsidRPr="000F7F9F">
              <w:rPr>
                <w:sz w:val="24"/>
                <w:szCs w:val="24"/>
              </w:rPr>
              <w:t xml:space="preserve">Снос расселенных многоквартирных </w:t>
            </w:r>
            <w:r w:rsidRPr="000F7F9F">
              <w:rPr>
                <w:sz w:val="24"/>
                <w:szCs w:val="24"/>
              </w:rPr>
              <w:lastRenderedPageBreak/>
              <w:t>аварийных домов</w:t>
            </w:r>
            <w:r>
              <w:rPr>
                <w:sz w:val="24"/>
                <w:szCs w:val="24"/>
              </w:rPr>
              <w:t>.</w:t>
            </w:r>
          </w:p>
        </w:tc>
        <w:tc>
          <w:tcPr>
            <w:tcW w:w="1843" w:type="dxa"/>
            <w:shd w:val="clear" w:color="auto" w:fill="auto"/>
          </w:tcPr>
          <w:p w:rsidR="00DC5E0C" w:rsidRDefault="00DC5E0C" w:rsidP="004D4C35">
            <w:pPr>
              <w:jc w:val="center"/>
              <w:rPr>
                <w:sz w:val="24"/>
                <w:szCs w:val="24"/>
              </w:rPr>
            </w:pPr>
            <w:r>
              <w:rPr>
                <w:sz w:val="24"/>
                <w:szCs w:val="24"/>
              </w:rPr>
              <w:lastRenderedPageBreak/>
              <w:t>шт.</w:t>
            </w:r>
          </w:p>
        </w:tc>
        <w:tc>
          <w:tcPr>
            <w:tcW w:w="2415" w:type="dxa"/>
            <w:shd w:val="clear" w:color="auto" w:fill="auto"/>
          </w:tcPr>
          <w:p w:rsidR="00DC5E0C" w:rsidRDefault="00DC5E0C" w:rsidP="004D4C35">
            <w:pPr>
              <w:jc w:val="center"/>
              <w:rPr>
                <w:sz w:val="24"/>
                <w:szCs w:val="24"/>
              </w:rPr>
            </w:pPr>
            <w:r>
              <w:rPr>
                <w:sz w:val="24"/>
                <w:szCs w:val="24"/>
              </w:rPr>
              <w:t>2</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18" w:rsidRDefault="00EA0318" w:rsidP="00A124DD">
      <w:r>
        <w:separator/>
      </w:r>
    </w:p>
  </w:endnote>
  <w:endnote w:type="continuationSeparator" w:id="0">
    <w:p w:rsidR="00EA0318" w:rsidRDefault="00EA0318"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003C04">
      <w:rPr>
        <w:noProof/>
      </w:rPr>
      <w:t>1</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18" w:rsidRDefault="00EA0318" w:rsidP="00A124DD">
      <w:r>
        <w:separator/>
      </w:r>
    </w:p>
  </w:footnote>
  <w:footnote w:type="continuationSeparator" w:id="0">
    <w:p w:rsidR="00EA0318" w:rsidRDefault="00EA0318"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6C170986"/>
    <w:multiLevelType w:val="hybridMultilevel"/>
    <w:tmpl w:val="9CE4503C"/>
    <w:lvl w:ilvl="0" w:tplc="E0C68CCA">
      <w:start w:val="2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20"/>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03C04"/>
    <w:rsid w:val="00011D3E"/>
    <w:rsid w:val="00012BA7"/>
    <w:rsid w:val="00012D14"/>
    <w:rsid w:val="00013562"/>
    <w:rsid w:val="000155E0"/>
    <w:rsid w:val="00016646"/>
    <w:rsid w:val="00022D7A"/>
    <w:rsid w:val="00031D09"/>
    <w:rsid w:val="000366F6"/>
    <w:rsid w:val="000405B3"/>
    <w:rsid w:val="000415EC"/>
    <w:rsid w:val="000507DF"/>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2E6"/>
    <w:rsid w:val="000F1834"/>
    <w:rsid w:val="000F7F9F"/>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51F33"/>
    <w:rsid w:val="00154546"/>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713BC"/>
    <w:rsid w:val="00272B59"/>
    <w:rsid w:val="00273E3B"/>
    <w:rsid w:val="00281CFE"/>
    <w:rsid w:val="00283BEB"/>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A1416"/>
    <w:rsid w:val="003A15C3"/>
    <w:rsid w:val="003A5B43"/>
    <w:rsid w:val="003B2D18"/>
    <w:rsid w:val="003B3042"/>
    <w:rsid w:val="003C0D02"/>
    <w:rsid w:val="003C1AC5"/>
    <w:rsid w:val="003C520B"/>
    <w:rsid w:val="003C653C"/>
    <w:rsid w:val="003C702B"/>
    <w:rsid w:val="003D1784"/>
    <w:rsid w:val="003D796A"/>
    <w:rsid w:val="003F08DC"/>
    <w:rsid w:val="00400DD3"/>
    <w:rsid w:val="00403021"/>
    <w:rsid w:val="00403AEE"/>
    <w:rsid w:val="004051A0"/>
    <w:rsid w:val="004051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93055"/>
    <w:rsid w:val="00694E30"/>
    <w:rsid w:val="006956C9"/>
    <w:rsid w:val="00695F1B"/>
    <w:rsid w:val="006960E7"/>
    <w:rsid w:val="006972CF"/>
    <w:rsid w:val="006A20AB"/>
    <w:rsid w:val="006A62C7"/>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770D"/>
    <w:rsid w:val="00770261"/>
    <w:rsid w:val="0077676B"/>
    <w:rsid w:val="00777364"/>
    <w:rsid w:val="00777D89"/>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0646A"/>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90118D"/>
    <w:rsid w:val="00901362"/>
    <w:rsid w:val="00901E3F"/>
    <w:rsid w:val="00905BEA"/>
    <w:rsid w:val="0090769B"/>
    <w:rsid w:val="009109BA"/>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75BD9"/>
    <w:rsid w:val="009804AD"/>
    <w:rsid w:val="0098057F"/>
    <w:rsid w:val="00991006"/>
    <w:rsid w:val="00991482"/>
    <w:rsid w:val="009951CE"/>
    <w:rsid w:val="009A2120"/>
    <w:rsid w:val="009B012A"/>
    <w:rsid w:val="009B26A7"/>
    <w:rsid w:val="009B4521"/>
    <w:rsid w:val="009C0575"/>
    <w:rsid w:val="009C0E95"/>
    <w:rsid w:val="009C1130"/>
    <w:rsid w:val="009C1A5F"/>
    <w:rsid w:val="009C2190"/>
    <w:rsid w:val="009C705A"/>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B04466"/>
    <w:rsid w:val="00B04CDA"/>
    <w:rsid w:val="00B04F45"/>
    <w:rsid w:val="00B071A8"/>
    <w:rsid w:val="00B10354"/>
    <w:rsid w:val="00B1276B"/>
    <w:rsid w:val="00B127E0"/>
    <w:rsid w:val="00B1368A"/>
    <w:rsid w:val="00B24154"/>
    <w:rsid w:val="00B255B3"/>
    <w:rsid w:val="00B30198"/>
    <w:rsid w:val="00B33FF2"/>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A0E63"/>
    <w:rsid w:val="00BA3915"/>
    <w:rsid w:val="00BA3DCA"/>
    <w:rsid w:val="00BA665E"/>
    <w:rsid w:val="00BA6B90"/>
    <w:rsid w:val="00BB3624"/>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C5E0C"/>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2351B"/>
    <w:rsid w:val="00E2412A"/>
    <w:rsid w:val="00E24469"/>
    <w:rsid w:val="00E36BEF"/>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7511D"/>
    <w:rsid w:val="00E829AA"/>
    <w:rsid w:val="00E95E32"/>
    <w:rsid w:val="00E963F8"/>
    <w:rsid w:val="00EA031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349600888">
      <w:bodyDiv w:val="1"/>
      <w:marLeft w:val="0"/>
      <w:marRight w:val="0"/>
      <w:marTop w:val="0"/>
      <w:marBottom w:val="0"/>
      <w:divBdr>
        <w:top w:val="none" w:sz="0" w:space="0" w:color="auto"/>
        <w:left w:val="none" w:sz="0" w:space="0" w:color="auto"/>
        <w:bottom w:val="none" w:sz="0" w:space="0" w:color="auto"/>
        <w:right w:val="none" w:sz="0" w:space="0" w:color="auto"/>
      </w:divBdr>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50462964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5029978">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4FE8-67D7-4DED-8001-B4DA85EE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2020-02-26T12:35:00Z</cp:lastPrinted>
  <dcterms:created xsi:type="dcterms:W3CDTF">2020-02-26T12:37:00Z</dcterms:created>
  <dcterms:modified xsi:type="dcterms:W3CDTF">2020-02-26T12:37:00Z</dcterms:modified>
</cp:coreProperties>
</file>