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5E9DE" w14:textId="69DE396E" w:rsidR="00671328" w:rsidRDefault="00671328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8FA070" wp14:editId="25D16EE0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897380" cy="810260"/>
            <wp:effectExtent l="0" t="0" r="7620" b="8890"/>
            <wp:wrapTight wrapText="bothSides">
              <wp:wrapPolygon edited="0">
                <wp:start x="1518" y="0"/>
                <wp:lineTo x="0" y="3047"/>
                <wp:lineTo x="0" y="21329"/>
                <wp:lineTo x="867" y="21329"/>
                <wp:lineTo x="21470" y="18790"/>
                <wp:lineTo x="21470" y="2031"/>
                <wp:lineTo x="3904" y="0"/>
                <wp:lineTo x="1518" y="0"/>
              </wp:wrapPolygon>
            </wp:wrapTight>
            <wp:docPr id="2" name="Рисунок 2" descr="\\10.47.143.40\shared\Отдел координации и анализа деятельности\СМИ Чигоева\Пресс-релизы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47.143.40\shared\Отдел координации и анализа деятельности\СМИ Чигоева\Пресс-релизы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9E193" w14:textId="6AE23998" w:rsidR="00671328" w:rsidRDefault="00671328" w:rsidP="00671328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995AF5" w14:textId="5E61D2BB" w:rsidR="003D637F" w:rsidRPr="00AB0910" w:rsidRDefault="009A0D65" w:rsidP="009A0D6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10">
        <w:rPr>
          <w:rFonts w:ascii="Times New Roman" w:hAnsi="Times New Roman" w:cs="Times New Roman"/>
          <w:b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14:paraId="7E432338" w14:textId="310152BB" w:rsidR="00426D36" w:rsidRPr="0099723C" w:rsidRDefault="009F39EE" w:rsidP="00D9571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7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жилых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E1491D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00ACC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0BC282" w14:textId="77777777" w:rsidR="009420B0" w:rsidRPr="00BC2459" w:rsidRDefault="006E6901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Pr="0099723C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D549F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F026E8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160FE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мам.</w:t>
      </w:r>
      <w:r w:rsidR="004D5A0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>З</w:t>
      </w:r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</w:t>
      </w:r>
      <w:r w:rsidR="008F6FB0" w:rsidRPr="00BC2459">
        <w:rPr>
          <w:rFonts w:ascii="Times New Roman" w:hAnsi="Times New Roman" w:cs="Times New Roman"/>
          <w:sz w:val="28"/>
          <w:szCs w:val="28"/>
        </w:rPr>
        <w:t>ранного назначения</w:t>
      </w:r>
      <w:r w:rsidR="0076633A" w:rsidRPr="00BC2459">
        <w:rPr>
          <w:rFonts w:ascii="Times New Roman" w:hAnsi="Times New Roman" w:cs="Times New Roman"/>
          <w:sz w:val="28"/>
          <w:szCs w:val="28"/>
        </w:rPr>
        <w:t>.</w:t>
      </w:r>
    </w:p>
    <w:p w14:paraId="18279A59" w14:textId="6DBB293C" w:rsidR="009420B0" w:rsidRPr="00BC2459" w:rsidRDefault="0076633A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459">
        <w:rPr>
          <w:rFonts w:ascii="Times New Roman" w:hAnsi="Times New Roman" w:cs="Times New Roman"/>
          <w:sz w:val="28"/>
          <w:szCs w:val="28"/>
        </w:rPr>
        <w:t xml:space="preserve"> </w:t>
      </w:r>
      <w:r w:rsidR="009420B0" w:rsidRPr="00BC2459">
        <w:rPr>
          <w:rFonts w:ascii="Times New Roman" w:hAnsi="Times New Roman" w:cs="Times New Roman"/>
          <w:sz w:val="28"/>
          <w:szCs w:val="28"/>
        </w:rPr>
        <w:t xml:space="preserve">По данным Кадастровой палаты по Ленинградской области, на сегодняшний день в реестре недвижимости региона содержатся данные более </w:t>
      </w:r>
      <w:r w:rsidR="00074452">
        <w:rPr>
          <w:rFonts w:ascii="Times New Roman" w:hAnsi="Times New Roman" w:cs="Times New Roman"/>
          <w:sz w:val="28"/>
          <w:szCs w:val="28"/>
        </w:rPr>
        <w:t xml:space="preserve">чем о </w:t>
      </w:r>
      <w:r w:rsidR="009420B0" w:rsidRPr="00BC2459">
        <w:rPr>
          <w:rFonts w:ascii="Times New Roman" w:hAnsi="Times New Roman" w:cs="Times New Roman"/>
          <w:sz w:val="28"/>
          <w:szCs w:val="28"/>
        </w:rPr>
        <w:t>17 тыс. многоквартирных домов. Количество нежилых помещений в таких домах составляет более 51 тыс. единиц.</w:t>
      </w:r>
    </w:p>
    <w:p w14:paraId="70AB20B7" w14:textId="508D5623" w:rsidR="00506B17" w:rsidRPr="0099723C" w:rsidRDefault="00506B17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CC443" w14:textId="77777777" w:rsidR="00671328" w:rsidRDefault="0049761F" w:rsidP="00671328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14:paraId="21F21454" w14:textId="5CB3EB75" w:rsidR="00997FCF" w:rsidRPr="00671328" w:rsidRDefault="00687432" w:rsidP="0067132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9F39E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3E7639" w14:textId="7EAF89D2" w:rsidR="00D9316D" w:rsidRPr="00885815" w:rsidRDefault="00997FCF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6317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отвечать жилое помещение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9E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предпринимателя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207AF9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513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AB61E4" w:rsidRP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16D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8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88581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88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C7B026" w14:textId="32100815" w:rsidR="000B748F" w:rsidRPr="00760198" w:rsidRDefault="00885815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5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48F" w:rsidRPr="00885815">
        <w:rPr>
          <w:rFonts w:ascii="Times New Roman" w:hAnsi="Times New Roman" w:cs="Times New Roman"/>
          <w:sz w:val="28"/>
          <w:szCs w:val="28"/>
        </w:rPr>
        <w:t>«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 xml:space="preserve">С 1 октября 2019 года вступает в силу поправка 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 xml:space="preserve">части 3 </w:t>
      </w:r>
      <w:r w:rsidR="000E6308" w:rsidRPr="00885815">
        <w:rPr>
          <w:rFonts w:ascii="Times New Roman" w:hAnsi="Times New Roman" w:cs="Times New Roman"/>
          <w:i/>
          <w:sz w:val="28"/>
          <w:szCs w:val="28"/>
        </w:rPr>
        <w:t>ст.17 Жилищного кодекса.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E9E" w:rsidRPr="00885815">
        <w:rPr>
          <w:rFonts w:ascii="Times New Roman" w:hAnsi="Times New Roman" w:cs="Times New Roman"/>
          <w:i/>
          <w:sz w:val="28"/>
          <w:szCs w:val="28"/>
        </w:rPr>
        <w:t>Согласно нововведениям,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 xml:space="preserve"> владельцы жилых помещений 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0B748F" w:rsidRPr="00885815">
        <w:rPr>
          <w:rFonts w:ascii="Times New Roman" w:hAnsi="Times New Roman" w:cs="Times New Roman"/>
          <w:i/>
          <w:sz w:val="28"/>
          <w:szCs w:val="28"/>
        </w:rPr>
        <w:t>многоквартирны</w:t>
      </w:r>
      <w:r w:rsidR="002A020B" w:rsidRPr="00885815">
        <w:rPr>
          <w:rFonts w:ascii="Times New Roman" w:hAnsi="Times New Roman" w:cs="Times New Roman"/>
          <w:i/>
          <w:sz w:val="28"/>
          <w:szCs w:val="28"/>
        </w:rPr>
        <w:t>х дом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>ах</w:t>
      </w:r>
      <w:r w:rsidR="002A020B" w:rsidRPr="00885815">
        <w:rPr>
          <w:rFonts w:ascii="Times New Roman" w:hAnsi="Times New Roman" w:cs="Times New Roman"/>
          <w:i/>
          <w:sz w:val="28"/>
          <w:szCs w:val="28"/>
        </w:rPr>
        <w:t xml:space="preserve"> не смогут использовать </w:t>
      </w:r>
      <w:r w:rsidR="00760198" w:rsidRPr="00885815">
        <w:rPr>
          <w:rFonts w:ascii="Times New Roman" w:hAnsi="Times New Roman" w:cs="Times New Roman"/>
          <w:i/>
          <w:sz w:val="28"/>
          <w:szCs w:val="28"/>
        </w:rPr>
        <w:t>их</w:t>
      </w:r>
      <w:r w:rsidR="000E6308" w:rsidRPr="00885815">
        <w:rPr>
          <w:rFonts w:ascii="Times New Roman" w:hAnsi="Times New Roman" w:cs="Times New Roman"/>
          <w:i/>
          <w:sz w:val="28"/>
          <w:szCs w:val="28"/>
        </w:rPr>
        <w:t xml:space="preserve"> в целях развития гостиничного бизнеса</w:t>
      </w:r>
      <w:r w:rsidR="000B748F" w:rsidRPr="00885815">
        <w:rPr>
          <w:rFonts w:ascii="Times New Roman" w:hAnsi="Times New Roman" w:cs="Times New Roman"/>
          <w:sz w:val="28"/>
          <w:szCs w:val="28"/>
        </w:rPr>
        <w:t>»</w:t>
      </w:r>
      <w:r w:rsidR="00760198" w:rsidRPr="00885815">
        <w:rPr>
          <w:rFonts w:ascii="Times New Roman" w:hAnsi="Times New Roman" w:cs="Times New Roman"/>
          <w:sz w:val="28"/>
          <w:szCs w:val="28"/>
        </w:rPr>
        <w:t xml:space="preserve"> - отметил</w:t>
      </w:r>
      <w:r w:rsidR="00760198" w:rsidRPr="00885815">
        <w:rPr>
          <w:rFonts w:ascii="Times New Roman" w:hAnsi="Times New Roman" w:cs="Times New Roman"/>
          <w:b/>
          <w:sz w:val="28"/>
          <w:szCs w:val="28"/>
        </w:rPr>
        <w:t xml:space="preserve"> начальник юридического отдела Кадастровой палаты по Ленинградской области Дмитрий Тверской.</w:t>
      </w:r>
    </w:p>
    <w:p w14:paraId="492B6B26" w14:textId="12952911" w:rsidR="00AA179E" w:rsidRPr="0099723C" w:rsidRDefault="002B582C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  <w:r w:rsidR="00A20F62" w:rsidRPr="009972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21BA70DD" w14:textId="77777777" w:rsidR="008B1A0C" w:rsidRPr="0099723C" w:rsidRDefault="007E4891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88A2E2" w14:textId="77777777" w:rsidR="0032473E" w:rsidRPr="0099723C" w:rsidRDefault="00281075" w:rsidP="00D957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CDD6E59" w14:textId="77777777" w:rsidR="00FB6D1B" w:rsidRPr="0099723C" w:rsidRDefault="00215717" w:rsidP="00D95718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14:paraId="0BD46E8E" w14:textId="10409C76" w:rsidR="004D7578" w:rsidRDefault="004D7578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 xml:space="preserve">Нежилые помещения в многоквартирном доме предназначены только для ведения коммерческой, административной, общественной и другой деятельности. Как правило, в них располагаются магазины, аптеки, салоны </w:t>
      </w:r>
      <w:r w:rsidRPr="004D7578">
        <w:rPr>
          <w:rFonts w:ascii="Times New Roman" w:hAnsi="Times New Roman" w:cs="Times New Roman"/>
          <w:sz w:val="28"/>
          <w:szCs w:val="28"/>
        </w:rPr>
        <w:lastRenderedPageBreak/>
        <w:t>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т.д</w:t>
      </w:r>
      <w:r w:rsidR="00607EAB">
        <w:rPr>
          <w:rFonts w:ascii="Times New Roman" w:hAnsi="Times New Roman" w:cs="Times New Roman"/>
          <w:sz w:val="28"/>
          <w:szCs w:val="28"/>
        </w:rPr>
        <w:t>.</w:t>
      </w:r>
    </w:p>
    <w:p w14:paraId="6FB3961B" w14:textId="67385830" w:rsidR="00865DDE" w:rsidRPr="0099723C" w:rsidRDefault="002A0767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</w:p>
    <w:p w14:paraId="57926CDD" w14:textId="0E926553" w:rsidR="00865DDE" w:rsidRPr="006926F1" w:rsidRDefault="00865DDE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5136C8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14:paraId="27673939" w14:textId="38440836" w:rsidR="0025157F" w:rsidRPr="0099723C" w:rsidRDefault="00132298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ED599E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5E007D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14:paraId="61BBE087" w14:textId="77777777" w:rsidR="00D95718" w:rsidRPr="00885815" w:rsidRDefault="00DB3FA8" w:rsidP="00D9571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в</w:t>
      </w:r>
      <w:r w:rsidR="00FC766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603E53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2E2FFC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</w:t>
      </w:r>
      <w:r w:rsidR="007703D1" w:rsidRPr="00885815">
        <w:rPr>
          <w:rFonts w:ascii="Times New Roman" w:hAnsi="Times New Roman" w:cs="Times New Roman"/>
          <w:sz w:val="28"/>
          <w:szCs w:val="28"/>
        </w:rPr>
        <w:t>помещений</w:t>
      </w:r>
      <w:r w:rsidR="003E6D57" w:rsidRPr="00885815">
        <w:rPr>
          <w:rFonts w:ascii="Times New Roman" w:hAnsi="Times New Roman" w:cs="Times New Roman"/>
          <w:sz w:val="28"/>
          <w:szCs w:val="28"/>
        </w:rPr>
        <w:t>, расположенных</w:t>
      </w:r>
      <w:r w:rsidR="007703D1" w:rsidRPr="00885815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885815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885815">
        <w:rPr>
          <w:rFonts w:ascii="Times New Roman" w:hAnsi="Times New Roman" w:cs="Times New Roman"/>
          <w:sz w:val="28"/>
          <w:szCs w:val="28"/>
        </w:rPr>
        <w:t>дом</w:t>
      </w:r>
      <w:r w:rsidR="003E6D57" w:rsidRPr="00885815">
        <w:rPr>
          <w:rFonts w:ascii="Times New Roman" w:hAnsi="Times New Roman" w:cs="Times New Roman"/>
          <w:sz w:val="28"/>
          <w:szCs w:val="28"/>
        </w:rPr>
        <w:t>е</w:t>
      </w:r>
      <w:r w:rsidR="00EF1EC4" w:rsidRPr="00885815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885815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885815">
        <w:rPr>
          <w:rFonts w:ascii="Times New Roman" w:hAnsi="Times New Roman" w:cs="Times New Roman"/>
          <w:sz w:val="28"/>
          <w:szCs w:val="28"/>
        </w:rPr>
        <w:t>е</w:t>
      </w:r>
      <w:r w:rsidR="00370CB2" w:rsidRPr="00885815">
        <w:rPr>
          <w:rFonts w:ascii="Times New Roman" w:hAnsi="Times New Roman" w:cs="Times New Roman"/>
          <w:sz w:val="28"/>
          <w:szCs w:val="28"/>
        </w:rPr>
        <w:t>.</w:t>
      </w:r>
    </w:p>
    <w:p w14:paraId="07929826" w14:textId="70D29992" w:rsidR="009420B0" w:rsidRPr="00074452" w:rsidRDefault="0077697B" w:rsidP="00942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452">
        <w:rPr>
          <w:rFonts w:ascii="Times New Roman" w:hAnsi="Times New Roman" w:cs="Times New Roman"/>
          <w:sz w:val="28"/>
          <w:szCs w:val="28"/>
        </w:rPr>
        <w:t>Закон не имеет обратного действия</w:t>
      </w:r>
      <w:r w:rsidR="00054143" w:rsidRPr="00074452">
        <w:rPr>
          <w:rFonts w:ascii="Times New Roman" w:hAnsi="Times New Roman" w:cs="Times New Roman"/>
          <w:sz w:val="28"/>
          <w:szCs w:val="28"/>
        </w:rPr>
        <w:t>, но наделяет жильц</w:t>
      </w:r>
      <w:r w:rsidR="00673DD2" w:rsidRPr="00074452">
        <w:rPr>
          <w:rFonts w:ascii="Times New Roman" w:hAnsi="Times New Roman" w:cs="Times New Roman"/>
          <w:sz w:val="28"/>
          <w:szCs w:val="28"/>
        </w:rPr>
        <w:t>ов</w:t>
      </w:r>
      <w:r w:rsidR="00054143" w:rsidRPr="00074452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0B1424" w:rsidRPr="00074452">
        <w:rPr>
          <w:rFonts w:ascii="Times New Roman" w:hAnsi="Times New Roman" w:cs="Times New Roman"/>
          <w:sz w:val="28"/>
          <w:szCs w:val="28"/>
        </w:rPr>
        <w:t xml:space="preserve"> решать, </w:t>
      </w:r>
      <w:r w:rsidR="00054143" w:rsidRPr="00074452">
        <w:rPr>
          <w:rFonts w:ascii="Times New Roman" w:hAnsi="Times New Roman" w:cs="Times New Roman"/>
          <w:sz w:val="28"/>
          <w:szCs w:val="28"/>
        </w:rPr>
        <w:t>будет ли открыто</w:t>
      </w:r>
      <w:r w:rsidR="000B1424" w:rsidRPr="00074452">
        <w:rPr>
          <w:rFonts w:ascii="Times New Roman" w:hAnsi="Times New Roman" w:cs="Times New Roman"/>
          <w:sz w:val="28"/>
          <w:szCs w:val="28"/>
        </w:rPr>
        <w:t xml:space="preserve"> очередное </w:t>
      </w:r>
      <w:r w:rsidR="00673DD2" w:rsidRPr="00074452">
        <w:rPr>
          <w:rFonts w:ascii="Times New Roman" w:hAnsi="Times New Roman" w:cs="Times New Roman"/>
          <w:sz w:val="28"/>
          <w:szCs w:val="28"/>
        </w:rPr>
        <w:t xml:space="preserve">коммерческое </w:t>
      </w:r>
      <w:r w:rsidR="000B1424" w:rsidRPr="00074452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054143" w:rsidRPr="00074452">
        <w:rPr>
          <w:rFonts w:ascii="Times New Roman" w:hAnsi="Times New Roman" w:cs="Times New Roman"/>
          <w:sz w:val="28"/>
          <w:szCs w:val="28"/>
        </w:rPr>
        <w:t>в их доме</w:t>
      </w:r>
      <w:r w:rsidR="00961658" w:rsidRPr="00074452">
        <w:rPr>
          <w:rFonts w:ascii="Times New Roman" w:hAnsi="Times New Roman" w:cs="Times New Roman"/>
          <w:sz w:val="28"/>
          <w:szCs w:val="28"/>
        </w:rPr>
        <w:t>.</w:t>
      </w:r>
      <w:r w:rsidR="00961658" w:rsidRPr="000744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4143" w:rsidRPr="00074452">
        <w:rPr>
          <w:rFonts w:ascii="Times New Roman" w:hAnsi="Times New Roman" w:cs="Times New Roman"/>
          <w:i/>
          <w:sz w:val="28"/>
          <w:szCs w:val="28"/>
        </w:rPr>
        <w:t>«</w:t>
      </w:r>
      <w:r w:rsidR="0099723C" w:rsidRPr="00074452">
        <w:rPr>
          <w:rFonts w:ascii="Times New Roman" w:hAnsi="Times New Roman" w:cs="Times New Roman"/>
          <w:i/>
          <w:sz w:val="28"/>
          <w:szCs w:val="28"/>
        </w:rPr>
        <w:t>Нововведения, прежде всего, направлены на защиту тех собственников, 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 w:rsidRPr="00074452">
        <w:rPr>
          <w:rFonts w:ascii="Times New Roman" w:hAnsi="Times New Roman" w:cs="Times New Roman"/>
          <w:i/>
          <w:sz w:val="28"/>
          <w:szCs w:val="28"/>
        </w:rPr>
        <w:t>»,</w:t>
      </w:r>
      <w:r w:rsidR="00E405C8" w:rsidRPr="00074452">
        <w:rPr>
          <w:rFonts w:ascii="Times New Roman" w:hAnsi="Times New Roman" w:cs="Times New Roman"/>
          <w:sz w:val="28"/>
          <w:szCs w:val="28"/>
        </w:rPr>
        <w:t xml:space="preserve"> - </w:t>
      </w:r>
      <w:r w:rsidR="00054143" w:rsidRPr="00074452">
        <w:rPr>
          <w:rFonts w:ascii="Times New Roman" w:hAnsi="Times New Roman" w:cs="Times New Roman"/>
          <w:sz w:val="28"/>
          <w:szCs w:val="28"/>
        </w:rPr>
        <w:t>говорит</w:t>
      </w:r>
      <w:r w:rsidRPr="00074452">
        <w:rPr>
          <w:rFonts w:ascii="Times New Roman" w:hAnsi="Times New Roman" w:cs="Times New Roman"/>
          <w:sz w:val="28"/>
          <w:szCs w:val="28"/>
        </w:rPr>
        <w:t xml:space="preserve"> </w:t>
      </w:r>
      <w:r w:rsidR="00885815" w:rsidRPr="00074452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Надежда Лещенко</w:t>
      </w:r>
      <w:r w:rsidR="00F17DE4" w:rsidRPr="00074452">
        <w:rPr>
          <w:rFonts w:ascii="Times New Roman" w:hAnsi="Times New Roman" w:cs="Times New Roman"/>
          <w:sz w:val="28"/>
          <w:szCs w:val="28"/>
        </w:rPr>
        <w:t>.</w:t>
      </w:r>
    </w:p>
    <w:p w14:paraId="256429E0" w14:textId="2A4EE724" w:rsidR="00621CDE" w:rsidRPr="00C26317" w:rsidRDefault="00621CDE" w:rsidP="00D9571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sectPr w:rsidR="00621CDE" w:rsidRPr="00C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74452"/>
    <w:rsid w:val="000913F9"/>
    <w:rsid w:val="000B1424"/>
    <w:rsid w:val="000B28B0"/>
    <w:rsid w:val="000B2E0A"/>
    <w:rsid w:val="000B6F0B"/>
    <w:rsid w:val="000B748F"/>
    <w:rsid w:val="000E6308"/>
    <w:rsid w:val="000F6A7C"/>
    <w:rsid w:val="001050F3"/>
    <w:rsid w:val="001060E9"/>
    <w:rsid w:val="00110648"/>
    <w:rsid w:val="0011401D"/>
    <w:rsid w:val="00115200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857DC"/>
    <w:rsid w:val="001B0B69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20B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07EAB"/>
    <w:rsid w:val="00611581"/>
    <w:rsid w:val="00615D85"/>
    <w:rsid w:val="00621CDE"/>
    <w:rsid w:val="006317D1"/>
    <w:rsid w:val="006318F8"/>
    <w:rsid w:val="00640FB4"/>
    <w:rsid w:val="00654075"/>
    <w:rsid w:val="0065707B"/>
    <w:rsid w:val="00671328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0198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232A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3B1B"/>
    <w:rsid w:val="0087655A"/>
    <w:rsid w:val="00885815"/>
    <w:rsid w:val="00885EC5"/>
    <w:rsid w:val="008956F4"/>
    <w:rsid w:val="008A0CD3"/>
    <w:rsid w:val="008A310A"/>
    <w:rsid w:val="008A5F81"/>
    <w:rsid w:val="008B1A0C"/>
    <w:rsid w:val="008B4F8E"/>
    <w:rsid w:val="008C7E9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420B0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596"/>
    <w:rsid w:val="009E0DD3"/>
    <w:rsid w:val="009F0DA7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091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0929"/>
    <w:rsid w:val="00B92702"/>
    <w:rsid w:val="00BA0EE8"/>
    <w:rsid w:val="00BA49E7"/>
    <w:rsid w:val="00BA772B"/>
    <w:rsid w:val="00BB413C"/>
    <w:rsid w:val="00BB6042"/>
    <w:rsid w:val="00BC0478"/>
    <w:rsid w:val="00BC2459"/>
    <w:rsid w:val="00BC3C37"/>
    <w:rsid w:val="00BC627A"/>
    <w:rsid w:val="00BC70F0"/>
    <w:rsid w:val="00BE6426"/>
    <w:rsid w:val="00C016D1"/>
    <w:rsid w:val="00C1495C"/>
    <w:rsid w:val="00C15DD8"/>
    <w:rsid w:val="00C17A06"/>
    <w:rsid w:val="00C24151"/>
    <w:rsid w:val="00C26317"/>
    <w:rsid w:val="00C32DC5"/>
    <w:rsid w:val="00C444AD"/>
    <w:rsid w:val="00C56ACD"/>
    <w:rsid w:val="00C570E1"/>
    <w:rsid w:val="00C775B7"/>
    <w:rsid w:val="00C945E8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4F5C"/>
    <w:rsid w:val="00D95718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17DE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1E78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0218"/>
  <w15:chartTrackingRefBased/>
  <w15:docId w15:val="{C32B63C8-3C1D-4073-B4B5-8E4C200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pravo.gov.ru/laws/acts/41/49495445106010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89DE-5E8E-48FA-926F-38E9182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user</cp:lastModifiedBy>
  <cp:revision>2</cp:revision>
  <cp:lastPrinted>2019-07-17T08:22:00Z</cp:lastPrinted>
  <dcterms:created xsi:type="dcterms:W3CDTF">2019-07-25T08:00:00Z</dcterms:created>
  <dcterms:modified xsi:type="dcterms:W3CDTF">2019-07-25T08:00:00Z</dcterms:modified>
</cp:coreProperties>
</file>