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A755ED">
        <w:rPr>
          <w:color w:val="000000"/>
          <w:szCs w:val="28"/>
          <w:u w:val="single"/>
        </w:rPr>
        <w:t xml:space="preserve">01.04.2019 </w:t>
      </w:r>
      <w:r>
        <w:rPr>
          <w:color w:val="000000"/>
          <w:szCs w:val="28"/>
        </w:rPr>
        <w:t xml:space="preserve"> №</w:t>
      </w:r>
      <w:r w:rsidR="00A755ED">
        <w:rPr>
          <w:color w:val="000000"/>
          <w:szCs w:val="28"/>
          <w:u w:val="single"/>
        </w:rPr>
        <w:t>227</w:t>
      </w:r>
      <w:r>
        <w:rPr>
          <w:color w:val="000000"/>
          <w:szCs w:val="28"/>
        </w:rPr>
        <w:t xml:space="preserve"> </w:t>
      </w:r>
    </w:p>
    <w:p w:rsidR="008872A4" w:rsidRDefault="008872A4" w:rsidP="008872A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8872A4" w:rsidRDefault="008872A4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E4F5" wp14:editId="10898D3C">
                <wp:simplePos x="0" y="0"/>
                <wp:positionH relativeFrom="column">
                  <wp:posOffset>-20320</wp:posOffset>
                </wp:positionH>
                <wp:positionV relativeFrom="paragraph">
                  <wp:posOffset>207645</wp:posOffset>
                </wp:positionV>
                <wp:extent cx="3514725" cy="11049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3933F7">
                              <w:rPr>
                                <w:color w:val="000000"/>
                                <w:szCs w:val="28"/>
                              </w:rPr>
                              <w:t>администрации № 574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1E4F5" id="Rectangle 5" o:spid="_x0000_s1026" style="position:absolute;left:0;text-align:left;margin-left:-1.6pt;margin-top:16.35pt;width:27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" strokecolor="white">
                <v:textbox>
                  <w:txbxContent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3933F7">
                        <w:rPr>
                          <w:color w:val="000000"/>
                          <w:szCs w:val="28"/>
                        </w:rPr>
                        <w:t>администрации № 574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C462A" w:rsidRDefault="00EC462A" w:rsidP="008872A4">
      <w:pPr>
        <w:ind w:left="426" w:firstLine="425"/>
        <w:jc w:val="both"/>
        <w:rPr>
          <w:color w:val="000000"/>
          <w:szCs w:val="28"/>
        </w:rPr>
      </w:pPr>
    </w:p>
    <w:p w:rsidR="00EC462A" w:rsidRDefault="00EC462A" w:rsidP="008872A4">
      <w:pPr>
        <w:ind w:left="426" w:firstLine="425"/>
        <w:jc w:val="both"/>
        <w:rPr>
          <w:color w:val="000000"/>
          <w:szCs w:val="28"/>
        </w:rPr>
      </w:pPr>
    </w:p>
    <w:p w:rsidR="008872A4" w:rsidRPr="003933F7" w:rsidRDefault="008872A4" w:rsidP="003933F7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</w:t>
      </w:r>
      <w:r w:rsidR="003933F7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3933F7"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="003933F7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</w:t>
      </w:r>
      <w:r w:rsidR="003933F7">
        <w:rPr>
          <w:rFonts w:eastAsia="Arial Unicode MS" w:cs="Times New Roman"/>
          <w:color w:val="000000"/>
          <w:kern w:val="1"/>
          <w:szCs w:val="28"/>
          <w:lang w:eastAsia="ru-RU"/>
        </w:rPr>
        <w:t>.10.2017 года</w:t>
      </w:r>
      <w:r w:rsidRPr="00414883">
        <w:rPr>
          <w:color w:val="000000"/>
          <w:szCs w:val="28"/>
        </w:rPr>
        <w:t xml:space="preserve">, </w:t>
      </w:r>
    </w:p>
    <w:p w:rsidR="008872A4" w:rsidRPr="002A014A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3933F7">
        <w:rPr>
          <w:color w:val="000000"/>
          <w:szCs w:val="28"/>
        </w:rPr>
        <w:t>574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="003933F7" w:rsidRPr="009F6ED1">
        <w:rPr>
          <w:color w:val="000000"/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8872A4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0932DF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3933F7" w:rsidRDefault="003933F7" w:rsidP="003933F7">
      <w:pPr>
        <w:ind w:firstLine="0"/>
        <w:jc w:val="right"/>
        <w:rPr>
          <w:szCs w:val="28"/>
        </w:rPr>
      </w:pPr>
    </w:p>
    <w:p w:rsidR="003933F7" w:rsidRPr="00913E2A" w:rsidRDefault="003933F7" w:rsidP="003933F7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УТВЕРЖДЕНА</w:t>
      </w:r>
    </w:p>
    <w:p w:rsidR="003933F7" w:rsidRPr="00913E2A" w:rsidRDefault="003933F7" w:rsidP="003933F7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постановлением администрации</w:t>
      </w:r>
    </w:p>
    <w:p w:rsidR="003933F7" w:rsidRPr="00913E2A" w:rsidRDefault="003933F7" w:rsidP="003933F7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МО Колтушское СП</w:t>
      </w:r>
    </w:p>
    <w:p w:rsidR="003933F7" w:rsidRPr="00A755ED" w:rsidRDefault="003933F7" w:rsidP="003933F7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A755ED">
        <w:rPr>
          <w:sz w:val="26"/>
          <w:szCs w:val="26"/>
          <w:u w:val="single"/>
        </w:rPr>
        <w:t xml:space="preserve">227 </w:t>
      </w:r>
      <w:r>
        <w:rPr>
          <w:sz w:val="26"/>
          <w:szCs w:val="26"/>
        </w:rPr>
        <w:t xml:space="preserve"> от </w:t>
      </w:r>
      <w:r w:rsidR="00A755ED">
        <w:rPr>
          <w:sz w:val="26"/>
          <w:szCs w:val="26"/>
          <w:u w:val="single"/>
        </w:rPr>
        <w:t>01.04.2019</w:t>
      </w:r>
      <w:bookmarkStart w:id="0" w:name="_GoBack"/>
      <w:bookmarkEnd w:id="0"/>
    </w:p>
    <w:p w:rsidR="003933F7" w:rsidRPr="00913E2A" w:rsidRDefault="003933F7" w:rsidP="003933F7">
      <w:pPr>
        <w:ind w:left="4536"/>
        <w:jc w:val="right"/>
        <w:rPr>
          <w:b/>
          <w:bCs/>
          <w:color w:val="000000"/>
          <w:kern w:val="36"/>
          <w:sz w:val="20"/>
          <w:szCs w:val="20"/>
        </w:rPr>
      </w:pPr>
      <w:r w:rsidRPr="00913E2A">
        <w:rPr>
          <w:sz w:val="26"/>
          <w:szCs w:val="26"/>
        </w:rPr>
        <w:t xml:space="preserve"> (Приложение)</w:t>
      </w:r>
    </w:p>
    <w:p w:rsidR="003933F7" w:rsidRPr="00A65266" w:rsidRDefault="003933F7" w:rsidP="003933F7">
      <w:pPr>
        <w:ind w:firstLine="0"/>
        <w:jc w:val="right"/>
        <w:rPr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ind w:firstLine="0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ind w:firstLine="0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933F7" w:rsidRPr="00D07047" w:rsidRDefault="003933F7" w:rsidP="003933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"Улучшение жилищных условий </w:t>
      </w:r>
      <w:r w:rsidRPr="00D07047">
        <w:rPr>
          <w:rFonts w:ascii="Times New Roman" w:hAnsi="Times New Roman" w:cs="Times New Roman"/>
          <w:sz w:val="28"/>
          <w:szCs w:val="28"/>
        </w:rPr>
        <w:t xml:space="preserve"> граждан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jc w:val="center"/>
        <w:rPr>
          <w:b/>
          <w:szCs w:val="28"/>
        </w:rPr>
      </w:pPr>
    </w:p>
    <w:p w:rsidR="003933F7" w:rsidRDefault="003933F7" w:rsidP="003933F7">
      <w:pPr>
        <w:ind w:right="-2"/>
        <w:jc w:val="center"/>
        <w:rPr>
          <w:b/>
          <w:sz w:val="24"/>
          <w:szCs w:val="24"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right="-2"/>
        <w:jc w:val="center"/>
        <w:rPr>
          <w:b/>
        </w:rPr>
      </w:pPr>
    </w:p>
    <w:p w:rsidR="003933F7" w:rsidRDefault="003933F7" w:rsidP="003933F7">
      <w:pPr>
        <w:ind w:firstLine="0"/>
        <w:jc w:val="center"/>
        <w:rPr>
          <w:b/>
          <w:szCs w:val="28"/>
        </w:rPr>
      </w:pPr>
    </w:p>
    <w:p w:rsidR="003933F7" w:rsidRDefault="003933F7" w:rsidP="003933F7">
      <w:pPr>
        <w:ind w:firstLine="0"/>
        <w:rPr>
          <w:b/>
          <w:szCs w:val="28"/>
        </w:rPr>
      </w:pPr>
    </w:p>
    <w:p w:rsidR="003933F7" w:rsidRDefault="003933F7" w:rsidP="003933F7">
      <w:pPr>
        <w:ind w:left="426" w:firstLine="0"/>
        <w:jc w:val="center"/>
        <w:rPr>
          <w:b/>
          <w:szCs w:val="28"/>
        </w:rPr>
      </w:pPr>
    </w:p>
    <w:p w:rsidR="003933F7" w:rsidRPr="00A50643" w:rsidRDefault="003933F7" w:rsidP="003933F7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3933F7" w:rsidRDefault="003933F7" w:rsidP="003933F7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3933F7" w:rsidRDefault="003933F7" w:rsidP="003933F7">
      <w:pPr>
        <w:ind w:left="426" w:firstLine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BD47EF">
              <w:rPr>
                <w:rFonts w:cs="Times New Roman"/>
                <w:sz w:val="24"/>
                <w:szCs w:val="24"/>
              </w:rPr>
              <w:t>Муниципальная программа «Улучшение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области» (далее –  Программа)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Конституция  Российской Федерации, Гражданский кодекс Российской Федерации, Жилищный кодекс Российской Федерации,</w:t>
            </w:r>
          </w:p>
          <w:p w:rsidR="003933F7" w:rsidRPr="00BD47EF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Федеральный закон Российской Федерации от 21.07.2007. № 185-ФЗ «О фонде содействия реформированию жилищно-коммунального хозяйства»,</w:t>
            </w:r>
          </w:p>
          <w:p w:rsidR="003933F7" w:rsidRPr="005E4180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3F7" w:rsidRPr="00BD47E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14.11.2013  № 407 «Об утверждении государственной программы Ленинградской области «Обеспечение качественным жильём граждан на территории Ленинградской области» (с изменениями).</w:t>
            </w:r>
          </w:p>
          <w:p w:rsidR="003933F7" w:rsidRPr="00BD47E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10.06.2014 № 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(с изменениями),</w:t>
            </w:r>
          </w:p>
          <w:p w:rsidR="003933F7" w:rsidRPr="00BD47E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 от 26.06.2014 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«Жильё для молодёжи» государственной программы Ленинградской области «Обеспечение качественным жильем граждан на территории Ленинградской области» (с изменениями),  </w:t>
            </w:r>
          </w:p>
          <w:p w:rsidR="003933F7" w:rsidRPr="00BD47E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25.07.2014 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(с изменениями),</w:t>
            </w:r>
          </w:p>
          <w:p w:rsidR="003933F7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от 20.07.2016г. №257 «</w:t>
            </w:r>
            <w:r w:rsidRPr="007C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</w:t>
            </w:r>
            <w:r w:rsidRPr="007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местным бюджетам из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изменениями).</w:t>
            </w:r>
          </w:p>
          <w:p w:rsidR="003933F7" w:rsidRPr="006C2B6C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BD47EF">
              <w:rPr>
                <w:rFonts w:cs="Times New Roman"/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4"/>
                <w:sz w:val="24"/>
                <w:szCs w:val="24"/>
              </w:rPr>
              <w:t>- создание организационных, правовых и финансовых</w:t>
            </w:r>
            <w:r w:rsidRPr="00BD47EF">
              <w:rPr>
                <w:rFonts w:cs="Times New Roman"/>
                <w:sz w:val="24"/>
                <w:szCs w:val="24"/>
              </w:rPr>
              <w:t xml:space="preserve">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Основные задачи </w:t>
            </w:r>
          </w:p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ind w:left="612"/>
              <w:jc w:val="both"/>
              <w:rPr>
                <w:rFonts w:cs="Times New Roman"/>
                <w:sz w:val="24"/>
                <w:szCs w:val="24"/>
              </w:rPr>
            </w:pP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переселению граждан из аварийного жилищного фонда.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снижению уровня аварийности жилищного фонда.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Софинансирование социальных выплат участникам жилищных мероприятий долгосрочных целевых региональных и федеральных  программ, реализуемых на территории МО Колтушское СП;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8"/>
                <w:sz w:val="24"/>
                <w:szCs w:val="24"/>
              </w:rPr>
              <w:t xml:space="preserve">- Предоставление участникам Программы муниципальной </w:t>
            </w:r>
            <w:r w:rsidRPr="00BD47EF">
              <w:rPr>
                <w:rFonts w:cs="Times New Roman"/>
                <w:sz w:val="24"/>
                <w:szCs w:val="24"/>
              </w:rPr>
              <w:t>поддержки на приобретение (строительство) жилого помещения или строительство индивидуального жилого дома.</w:t>
            </w:r>
          </w:p>
          <w:p w:rsidR="003933F7" w:rsidRPr="00BD47EF" w:rsidRDefault="003933F7" w:rsidP="00693B39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Ответственный за разработку 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475EDF">
              <w:rPr>
                <w:rFonts w:cs="Times New Roman"/>
                <w:sz w:val="24"/>
                <w:szCs w:val="24"/>
              </w:rPr>
              <w:t>Ведущий специалист по жилищным вопросам и муниципальному жилищному контролю ад</w:t>
            </w:r>
            <w:r w:rsidRPr="00BD47EF">
              <w:rPr>
                <w:rFonts w:cs="Times New Roman"/>
                <w:sz w:val="24"/>
                <w:szCs w:val="24"/>
              </w:rPr>
              <w:t>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Соисполнители</w:t>
            </w:r>
          </w:p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  <w:r w:rsidRPr="00BD47E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 МО Колтушское СП»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Обследование жилищного фонда на предмет пригодности для постоянного проживания 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Приобретение отдельных квартир для переселения граждан </w:t>
            </w:r>
            <w:r w:rsidRPr="00BD47EF">
              <w:rPr>
                <w:rFonts w:cs="Times New Roman"/>
                <w:sz w:val="24"/>
                <w:szCs w:val="24"/>
              </w:rPr>
              <w:lastRenderedPageBreak/>
              <w:t>из аварийного фонда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Поддержка граждан, нуждающихся в улучшении жилищных условий, путем предоставления социальных выплат и компенсации части расходов на приобретение (строительство) жилья.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 обследованного жилого фонда на предмет аварийности, единиц.</w:t>
            </w:r>
          </w:p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)Приобретение в муниципальную собственность жилых помещений, единиц.</w:t>
            </w:r>
          </w:p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семей, получивших социальные выплаты на улучшение жилищных условий.</w:t>
            </w:r>
          </w:p>
          <w:p w:rsidR="003933F7" w:rsidRPr="00BD47EF" w:rsidRDefault="003933F7" w:rsidP="00693B3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9C2190" w:rsidRDefault="003933F7" w:rsidP="00693B39">
            <w:pPr>
              <w:pStyle w:val="a9"/>
              <w:rPr>
                <w:rFonts w:ascii="Times New Roman" w:hAnsi="Times New Roman" w:cs="Times New Roman"/>
              </w:rPr>
            </w:pPr>
            <w:r w:rsidRPr="009C2190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9C2190">
              <w:rPr>
                <w:rFonts w:ascii="Times New Roman" w:hAnsi="Times New Roman" w:cs="Times New Roman"/>
              </w:rPr>
              <w:t xml:space="preserve">Объем бюджетных ассигнований Программы составляет – </w:t>
            </w:r>
          </w:p>
          <w:p w:rsidR="003933F7" w:rsidRPr="009C2190" w:rsidRDefault="00A77E83" w:rsidP="00693B3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933F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  <w:r w:rsidR="003933F7">
              <w:rPr>
                <w:bCs/>
                <w:sz w:val="24"/>
                <w:szCs w:val="24"/>
              </w:rPr>
              <w:t>95 000,</w:t>
            </w:r>
            <w:r w:rsidR="003933F7" w:rsidRPr="009C2190">
              <w:rPr>
                <w:bCs/>
                <w:sz w:val="24"/>
                <w:szCs w:val="24"/>
              </w:rPr>
              <w:t>00</w:t>
            </w:r>
            <w:r w:rsidR="003933F7" w:rsidRPr="009C219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33F7" w:rsidRPr="009C2190">
              <w:rPr>
                <w:sz w:val="24"/>
                <w:szCs w:val="24"/>
              </w:rPr>
              <w:t xml:space="preserve">рублей, в том числе: </w:t>
            </w:r>
          </w:p>
          <w:p w:rsidR="003933F7" w:rsidRPr="009C2190" w:rsidRDefault="003933F7" w:rsidP="00693B39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3933F7" w:rsidRPr="009C2190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C2190">
              <w:rPr>
                <w:rFonts w:cs="Times New Roman"/>
                <w:sz w:val="24"/>
                <w:szCs w:val="24"/>
              </w:rPr>
              <w:t xml:space="preserve">Из бюджета МО Колтушское СП –   </w:t>
            </w:r>
            <w:r w:rsidR="00A77E83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</w:t>
            </w:r>
            <w:r w:rsidR="00A77E8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95 000</w:t>
            </w:r>
            <w:r w:rsidRPr="009C2190">
              <w:rPr>
                <w:bCs/>
                <w:sz w:val="24"/>
                <w:szCs w:val="24"/>
              </w:rPr>
              <w:t>,00</w:t>
            </w:r>
            <w:r w:rsidRPr="009C2190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3933F7" w:rsidRPr="009C2190" w:rsidRDefault="003933F7" w:rsidP="00693B3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9C2190">
              <w:rPr>
                <w:rFonts w:cs="Times New Roman"/>
                <w:bCs/>
                <w:sz w:val="24"/>
                <w:szCs w:val="24"/>
                <w:lang w:eastAsia="ru-RU"/>
              </w:rPr>
              <w:t>0</w:t>
            </w:r>
            <w:r w:rsidRPr="009C2190">
              <w:rPr>
                <w:sz w:val="24"/>
                <w:szCs w:val="24"/>
                <w:lang w:eastAsia="hi-IN" w:bidi="hi-IN"/>
              </w:rPr>
              <w:t xml:space="preserve"> руб.</w:t>
            </w:r>
          </w:p>
          <w:p w:rsidR="003933F7" w:rsidRPr="009C2190" w:rsidRDefault="003933F7" w:rsidP="00693B39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>И</w:t>
            </w:r>
            <w:r>
              <w:rPr>
                <w:sz w:val="24"/>
                <w:szCs w:val="24"/>
                <w:lang w:eastAsia="hi-IN" w:bidi="hi-IN"/>
              </w:rPr>
              <w:t>з федерального бюджета – 0 руб..</w:t>
            </w:r>
          </w:p>
          <w:p w:rsidR="003933F7" w:rsidRPr="00BD47EF" w:rsidRDefault="003933F7" w:rsidP="00693B39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Снижение количества аварийного жилищного фонда на территории 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3933F7" w:rsidRPr="00BD47EF" w:rsidRDefault="003933F7" w:rsidP="00693B3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Актуальная оценка состояния ветхого жилищного фонда.</w:t>
            </w:r>
          </w:p>
          <w:p w:rsidR="003933F7" w:rsidRPr="00BD47EF" w:rsidRDefault="003933F7" w:rsidP="00693B39">
            <w:pPr>
              <w:tabs>
                <w:tab w:val="left" w:pos="912"/>
              </w:tabs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Улучшение жилищных условий граждан.</w:t>
            </w:r>
          </w:p>
          <w:p w:rsidR="003933F7" w:rsidRPr="00BD47EF" w:rsidRDefault="003933F7" w:rsidP="00693B39">
            <w:pPr>
              <w:tabs>
                <w:tab w:val="left" w:pos="912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6"/>
                <w:sz w:val="24"/>
                <w:szCs w:val="24"/>
              </w:rPr>
              <w:t>-</w:t>
            </w:r>
            <w:r w:rsidRPr="00BD47EF">
              <w:rPr>
                <w:rFonts w:cs="Times New Roman"/>
                <w:sz w:val="24"/>
                <w:szCs w:val="24"/>
              </w:rPr>
              <w:t xml:space="preserve">Предоставление социальных выплаты на приобретение (строительство) жилого помещения или строительство индивидуального жилого дома  многодетным </w:t>
            </w:r>
            <w:r w:rsidRPr="00BD47EF">
              <w:rPr>
                <w:rFonts w:cs="Times New Roman"/>
                <w:spacing w:val="-6"/>
                <w:sz w:val="24"/>
                <w:szCs w:val="24"/>
              </w:rPr>
              <w:t xml:space="preserve">семьям,  молодым семьям и семьям работников  бюджетной сферы. </w:t>
            </w:r>
          </w:p>
          <w:p w:rsidR="003933F7" w:rsidRPr="00BD47EF" w:rsidRDefault="003933F7" w:rsidP="00693B39">
            <w:pPr>
              <w:tabs>
                <w:tab w:val="left" w:pos="91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Pr="00A50643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right="-2"/>
        <w:jc w:val="center"/>
        <w:rPr>
          <w:szCs w:val="28"/>
        </w:rPr>
      </w:pPr>
    </w:p>
    <w:p w:rsidR="003933F7" w:rsidRPr="00A50643" w:rsidRDefault="003933F7" w:rsidP="003933F7">
      <w:pPr>
        <w:ind w:left="426" w:right="-2"/>
        <w:jc w:val="center"/>
        <w:rPr>
          <w:szCs w:val="28"/>
        </w:rPr>
      </w:pPr>
    </w:p>
    <w:p w:rsidR="003933F7" w:rsidRPr="00A50643" w:rsidRDefault="003933F7" w:rsidP="003933F7">
      <w:pPr>
        <w:ind w:left="426"/>
      </w:pPr>
    </w:p>
    <w:p w:rsidR="003933F7" w:rsidRDefault="003933F7" w:rsidP="003933F7">
      <w:pPr>
        <w:ind w:left="426"/>
        <w:rPr>
          <w:b/>
          <w:szCs w:val="28"/>
        </w:rPr>
      </w:pPr>
    </w:p>
    <w:p w:rsidR="003933F7" w:rsidRDefault="003933F7" w:rsidP="003933F7">
      <w:pPr>
        <w:ind w:left="426"/>
        <w:rPr>
          <w:b/>
          <w:szCs w:val="28"/>
        </w:rPr>
      </w:pPr>
    </w:p>
    <w:p w:rsidR="003933F7" w:rsidRDefault="003933F7" w:rsidP="003933F7">
      <w:pPr>
        <w:ind w:left="426"/>
        <w:rPr>
          <w:b/>
          <w:szCs w:val="28"/>
        </w:rPr>
      </w:pPr>
    </w:p>
    <w:p w:rsidR="003933F7" w:rsidRPr="008A3A4F" w:rsidRDefault="003933F7" w:rsidP="003933F7">
      <w:pPr>
        <w:pStyle w:val="a7"/>
        <w:numPr>
          <w:ilvl w:val="0"/>
          <w:numId w:val="26"/>
        </w:numPr>
        <w:jc w:val="center"/>
        <w:rPr>
          <w:b/>
          <w:szCs w:val="28"/>
        </w:rPr>
      </w:pPr>
      <w:r w:rsidRPr="008A3A4F">
        <w:rPr>
          <w:b/>
          <w:szCs w:val="28"/>
        </w:rPr>
        <w:t>Общая характеристика сферы</w:t>
      </w:r>
    </w:p>
    <w:p w:rsidR="003933F7" w:rsidRDefault="003933F7" w:rsidP="003933F7">
      <w:pPr>
        <w:jc w:val="center"/>
        <w:rPr>
          <w:b/>
          <w:szCs w:val="28"/>
        </w:rPr>
      </w:pPr>
    </w:p>
    <w:p w:rsidR="003933F7" w:rsidRPr="007769DB" w:rsidRDefault="003933F7" w:rsidP="003933F7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7769DB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жилищного фонда МО Колтушское СП составляет 519,54 тыс.кв.м. и насчитывает 146 многоквартирных жилых домов. Из них</w:t>
      </w:r>
      <w:r w:rsidRPr="007769DB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7 многоквартирных д</w:t>
      </w:r>
      <w:r>
        <w:rPr>
          <w:rFonts w:ascii="Times New Roman" w:hAnsi="Times New Roman" w:cs="Calibri"/>
          <w:sz w:val="28"/>
          <w:szCs w:val="28"/>
          <w:lang w:eastAsia="en-US"/>
        </w:rPr>
        <w:t>ома, по состоянию на 01.11.2018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г., признаны аварийными, общая площадь которых </w:t>
      </w:r>
      <w:r w:rsidRPr="00320343">
        <w:rPr>
          <w:rFonts w:ascii="Times New Roman" w:hAnsi="Times New Roman" w:cs="Calibri"/>
          <w:sz w:val="28"/>
          <w:szCs w:val="28"/>
          <w:lang w:eastAsia="en-US"/>
        </w:rPr>
        <w:t xml:space="preserve">1 382,5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кв.м. В указанном авари</w:t>
      </w:r>
      <w:r>
        <w:rPr>
          <w:rFonts w:ascii="Times New Roman" w:hAnsi="Times New Roman" w:cs="Calibri"/>
          <w:sz w:val="28"/>
          <w:szCs w:val="28"/>
          <w:lang w:eastAsia="en-US"/>
        </w:rPr>
        <w:t>йном жилищном фонде проживает 94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Calibri"/>
          <w:sz w:val="28"/>
          <w:szCs w:val="28"/>
          <w:lang w:eastAsia="en-US"/>
        </w:rPr>
        <w:t>а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. Доля аварийных домов от общего количества многокварт</w:t>
      </w:r>
      <w:r>
        <w:rPr>
          <w:rFonts w:ascii="Times New Roman" w:hAnsi="Times New Roman" w:cs="Calibri"/>
          <w:sz w:val="28"/>
          <w:szCs w:val="28"/>
          <w:lang w:eastAsia="en-US"/>
        </w:rPr>
        <w:t>ирных жилых домов составляет 5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%.</w:t>
      </w:r>
    </w:p>
    <w:p w:rsidR="003933F7" w:rsidRDefault="003933F7" w:rsidP="003933F7">
      <w:pPr>
        <w:jc w:val="both"/>
        <w:rPr>
          <w:szCs w:val="28"/>
        </w:rPr>
      </w:pPr>
      <w:r w:rsidRPr="007769DB">
        <w:rPr>
          <w:szCs w:val="28"/>
        </w:rPr>
        <w:t xml:space="preserve">Аварийный жилищный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3933F7" w:rsidRPr="005247C8" w:rsidRDefault="003933F7" w:rsidP="003933F7">
      <w:pPr>
        <w:ind w:firstLine="720"/>
        <w:jc w:val="both"/>
        <w:rPr>
          <w:szCs w:val="28"/>
        </w:rPr>
      </w:pPr>
      <w:r>
        <w:rPr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района не имеет возможности его приобретения на собственные средства. </w:t>
      </w:r>
      <w:r w:rsidRPr="000C18F9">
        <w:rPr>
          <w:szCs w:val="28"/>
        </w:rPr>
        <w:t>Особенно остро стоит вопрос об улучшении жилищных условий граждан, принятых на учёт нуждающихся в получении жилой площади до 01</w:t>
      </w:r>
      <w:r>
        <w:rPr>
          <w:szCs w:val="28"/>
        </w:rPr>
        <w:t xml:space="preserve"> марта </w:t>
      </w:r>
      <w:r w:rsidRPr="000C18F9">
        <w:rPr>
          <w:szCs w:val="28"/>
        </w:rPr>
        <w:t>2005</w:t>
      </w:r>
      <w:r>
        <w:rPr>
          <w:szCs w:val="28"/>
        </w:rPr>
        <w:t xml:space="preserve"> года </w:t>
      </w:r>
      <w:r w:rsidRPr="000C18F9">
        <w:rPr>
          <w:szCs w:val="28"/>
        </w:rPr>
        <w:t xml:space="preserve"> </w:t>
      </w:r>
      <w:r>
        <w:rPr>
          <w:szCs w:val="28"/>
        </w:rPr>
        <w:t>и работающих в бюджетной сфере (</w:t>
      </w:r>
      <w:r w:rsidRPr="000C18F9">
        <w:rPr>
          <w:szCs w:val="28"/>
        </w:rPr>
        <w:t>медицинские работники, педагоги</w:t>
      </w:r>
      <w:r>
        <w:rPr>
          <w:szCs w:val="28"/>
        </w:rPr>
        <w:t>ческие работники</w:t>
      </w:r>
      <w:r w:rsidRPr="000C18F9">
        <w:rPr>
          <w:szCs w:val="28"/>
        </w:rPr>
        <w:t>, муниципальные служащие, работники культур</w:t>
      </w:r>
      <w:r>
        <w:rPr>
          <w:szCs w:val="28"/>
        </w:rPr>
        <w:t>ы и социальной защиты населения).</w:t>
      </w:r>
      <w:r w:rsidRPr="000C18F9">
        <w:rPr>
          <w:szCs w:val="28"/>
        </w:rPr>
        <w:t xml:space="preserve"> </w:t>
      </w:r>
      <w:r>
        <w:rPr>
          <w:szCs w:val="28"/>
        </w:rPr>
        <w:t xml:space="preserve">Именно с целью оказания  поддержки незащищенным слоям населения в Всеволожском районе реализуются все подпрограммы Государственной программы Ленинградской области «Обеспечение качественным жильем граждан на территории Ленинградской области», финансируемой за счет средств </w:t>
      </w:r>
      <w:r w:rsidRPr="005247C8">
        <w:rPr>
          <w:szCs w:val="28"/>
        </w:rPr>
        <w:t>областного, федерального бюджетов и бюджета муниципального образования.</w:t>
      </w:r>
    </w:p>
    <w:p w:rsidR="003933F7" w:rsidRPr="005247C8" w:rsidRDefault="003933F7" w:rsidP="003933F7">
      <w:pPr>
        <w:ind w:firstLine="720"/>
        <w:jc w:val="both"/>
        <w:rPr>
          <w:szCs w:val="28"/>
        </w:rPr>
      </w:pPr>
      <w:r w:rsidRPr="005247C8">
        <w:rPr>
          <w:szCs w:val="28"/>
        </w:rPr>
        <w:t xml:space="preserve">На 1 января 2018 года на учёте нуждающихся в жилых помещениях в МО Колтушское СП  состоит 232 семья / 690 человек, или 2,5% от численности населения  МО Колтушское СП. </w:t>
      </w:r>
    </w:p>
    <w:p w:rsidR="003933F7" w:rsidRPr="005247C8" w:rsidRDefault="003933F7" w:rsidP="003933F7">
      <w:pPr>
        <w:ind w:firstLine="720"/>
        <w:jc w:val="both"/>
        <w:rPr>
          <w:szCs w:val="28"/>
        </w:rPr>
      </w:pPr>
      <w:r w:rsidRPr="005247C8">
        <w:rPr>
          <w:szCs w:val="28"/>
        </w:rPr>
        <w:t>Из общего числа семей состоящих на учёте нуждающихся в жилье:</w:t>
      </w:r>
    </w:p>
    <w:p w:rsidR="003933F7" w:rsidRPr="00863E04" w:rsidRDefault="003933F7" w:rsidP="003933F7">
      <w:pPr>
        <w:ind w:left="720"/>
        <w:jc w:val="both"/>
        <w:rPr>
          <w:szCs w:val="28"/>
        </w:rPr>
      </w:pPr>
      <w:r>
        <w:rPr>
          <w:szCs w:val="28"/>
        </w:rPr>
        <w:t>- Молодые граждане (семьи) – 136</w:t>
      </w:r>
      <w:r w:rsidRPr="00863E04">
        <w:rPr>
          <w:szCs w:val="28"/>
        </w:rPr>
        <w:t xml:space="preserve"> семьи;</w:t>
      </w:r>
    </w:p>
    <w:p w:rsidR="003933F7" w:rsidRPr="00863E04" w:rsidRDefault="003933F7" w:rsidP="003933F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>Мно</w:t>
      </w:r>
      <w:r>
        <w:rPr>
          <w:szCs w:val="28"/>
        </w:rPr>
        <w:t>годетные семьи – 11</w:t>
      </w:r>
      <w:r w:rsidRPr="00863E04">
        <w:rPr>
          <w:szCs w:val="28"/>
        </w:rPr>
        <w:t xml:space="preserve"> семей;</w:t>
      </w:r>
    </w:p>
    <w:p w:rsidR="003933F7" w:rsidRPr="00863E04" w:rsidRDefault="003933F7" w:rsidP="003933F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 xml:space="preserve">Работники бюджетной сферы – 5 семей. </w:t>
      </w:r>
    </w:p>
    <w:p w:rsidR="003933F7" w:rsidRDefault="003933F7" w:rsidP="003933F7">
      <w:pPr>
        <w:ind w:firstLine="581"/>
        <w:jc w:val="both"/>
        <w:rPr>
          <w:szCs w:val="28"/>
        </w:rPr>
      </w:pPr>
      <w:r w:rsidRPr="000C18F9">
        <w:rPr>
          <w:szCs w:val="28"/>
        </w:rPr>
        <w:t>Резкое сокращение объёмов госуд</w:t>
      </w:r>
      <w:r>
        <w:rPr>
          <w:szCs w:val="28"/>
        </w:rPr>
        <w:t>арственных  капитальных вложений</w:t>
      </w:r>
      <w:r w:rsidRPr="000C18F9">
        <w:rPr>
          <w:szCs w:val="28"/>
        </w:rPr>
        <w:t xml:space="preserve"> в</w:t>
      </w:r>
      <w:r>
        <w:rPr>
          <w:szCs w:val="28"/>
        </w:rPr>
        <w:t xml:space="preserve"> жилищное строительство, </w:t>
      </w:r>
      <w:r w:rsidRPr="000C18F9">
        <w:rPr>
          <w:szCs w:val="28"/>
        </w:rPr>
        <w:t xml:space="preserve"> высокий уровень цен на рынке жилья, сложившийся за последни</w:t>
      </w:r>
      <w:r>
        <w:rPr>
          <w:szCs w:val="28"/>
        </w:rPr>
        <w:t>е 10 лет,</w:t>
      </w:r>
      <w:r w:rsidRPr="000C18F9">
        <w:rPr>
          <w:szCs w:val="28"/>
        </w:rPr>
        <w:t xml:space="preserve"> не позволяет улучшить жилищные условия граждан.</w:t>
      </w:r>
    </w:p>
    <w:p w:rsidR="003933F7" w:rsidRPr="000C18F9" w:rsidRDefault="003933F7" w:rsidP="003933F7">
      <w:pPr>
        <w:ind w:firstLine="581"/>
        <w:jc w:val="both"/>
        <w:rPr>
          <w:szCs w:val="28"/>
        </w:rPr>
      </w:pPr>
      <w:r>
        <w:rPr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иных, не запрещенных законов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3933F7" w:rsidRDefault="003933F7" w:rsidP="003933F7">
      <w:pPr>
        <w:ind w:firstLine="581"/>
        <w:jc w:val="both"/>
        <w:rPr>
          <w:szCs w:val="28"/>
        </w:rPr>
      </w:pPr>
      <w:r w:rsidRPr="00E73AD5">
        <w:rPr>
          <w:szCs w:val="28"/>
        </w:rPr>
        <w:t xml:space="preserve">Такие социальные категории населения как молодые семьи, в том числе молодежь, многодетные семьи и работники бюджетной сферы, нуждающиеся в улучшении жилищных условий, требуют бюджетной поддержки. Они не могут получить доступ на рынок жилья, даже имея достаточный уровень дохода для </w:t>
      </w:r>
      <w:r w:rsidRPr="00E73AD5">
        <w:rPr>
          <w:szCs w:val="28"/>
        </w:rPr>
        <w:lastRenderedPageBreak/>
        <w:t xml:space="preserve">получения ипотечного жилищного кредита, поскольку нет возможности оплатить первоначальный взнос при получении кредита. </w:t>
      </w:r>
    </w:p>
    <w:p w:rsidR="003933F7" w:rsidRDefault="003933F7" w:rsidP="003933F7">
      <w:pPr>
        <w:ind w:firstLine="581"/>
        <w:jc w:val="both"/>
        <w:rPr>
          <w:szCs w:val="28"/>
        </w:rPr>
      </w:pPr>
      <w:r>
        <w:rPr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3933F7" w:rsidRPr="00DD0527" w:rsidRDefault="003933F7" w:rsidP="003933F7">
      <w:pPr>
        <w:ind w:left="426"/>
        <w:jc w:val="both"/>
        <w:rPr>
          <w:rFonts w:cs="Times New Roman"/>
          <w:szCs w:val="28"/>
        </w:rPr>
      </w:pPr>
    </w:p>
    <w:p w:rsidR="003933F7" w:rsidRDefault="003933F7" w:rsidP="003933F7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3933F7" w:rsidRDefault="003933F7" w:rsidP="003933F7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3933F7" w:rsidRPr="003A25AB" w:rsidRDefault="003933F7" w:rsidP="003933F7">
      <w:pPr>
        <w:ind w:firstLine="34"/>
        <w:jc w:val="both"/>
        <w:rPr>
          <w:szCs w:val="28"/>
        </w:rPr>
      </w:pPr>
      <w:r>
        <w:rPr>
          <w:szCs w:val="28"/>
        </w:rPr>
        <w:t xml:space="preserve">          </w:t>
      </w:r>
      <w:r w:rsidRPr="003A25AB">
        <w:rPr>
          <w:szCs w:val="28"/>
        </w:rPr>
        <w:t>Основная цель Программы – обеспечение качественным жильем граждан на территории МО Колтушское СП и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поддержки.</w:t>
      </w:r>
    </w:p>
    <w:p w:rsidR="003933F7" w:rsidRPr="0033688C" w:rsidRDefault="003933F7" w:rsidP="003933F7">
      <w:pPr>
        <w:ind w:firstLine="34"/>
        <w:jc w:val="both"/>
        <w:rPr>
          <w:szCs w:val="28"/>
        </w:rPr>
      </w:pPr>
    </w:p>
    <w:p w:rsidR="003933F7" w:rsidRDefault="003933F7" w:rsidP="0039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933F7" w:rsidRDefault="003933F7" w:rsidP="0039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жилого фонда;</w:t>
      </w:r>
    </w:p>
    <w:p w:rsidR="003933F7" w:rsidRPr="003A25AB" w:rsidRDefault="003933F7" w:rsidP="0039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переселение граждан из авариного жилищного фонда,</w:t>
      </w:r>
    </w:p>
    <w:p w:rsidR="003933F7" w:rsidRPr="003A25AB" w:rsidRDefault="003933F7" w:rsidP="0039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предоставление единовременных денежных выплат для приобретения (строительства) жилых помещений гражданам, проживающим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 признанным </w:t>
      </w:r>
      <w:r w:rsidRPr="003A25AB">
        <w:rPr>
          <w:rFonts w:ascii="Times New Roman" w:hAnsi="Times New Roman" w:cs="Times New Roman"/>
          <w:sz w:val="28"/>
          <w:szCs w:val="28"/>
        </w:rPr>
        <w:t>в качест</w:t>
      </w:r>
      <w:r>
        <w:rPr>
          <w:rFonts w:ascii="Times New Roman" w:hAnsi="Times New Roman" w:cs="Times New Roman"/>
          <w:sz w:val="28"/>
          <w:szCs w:val="28"/>
        </w:rPr>
        <w:t>ве нуждающихся в улучшении жилищных условий.</w:t>
      </w:r>
    </w:p>
    <w:p w:rsidR="003933F7" w:rsidRDefault="003933F7" w:rsidP="003933F7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3933F7" w:rsidRPr="008A3A4F" w:rsidRDefault="003933F7" w:rsidP="003933F7">
      <w:pPr>
        <w:pStyle w:val="a7"/>
        <w:numPr>
          <w:ilvl w:val="0"/>
          <w:numId w:val="6"/>
        </w:numPr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Прогноз конечных результатов.</w:t>
      </w:r>
    </w:p>
    <w:p w:rsidR="003933F7" w:rsidRDefault="003933F7" w:rsidP="003933F7">
      <w:pPr>
        <w:ind w:left="426"/>
        <w:jc w:val="center"/>
        <w:rPr>
          <w:rFonts w:cs="Times New Roman"/>
          <w:b/>
          <w:szCs w:val="28"/>
        </w:rPr>
      </w:pPr>
    </w:p>
    <w:p w:rsidR="003933F7" w:rsidRPr="003D3C29" w:rsidRDefault="003933F7" w:rsidP="003933F7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 xml:space="preserve">нижение количества аварийного жилого фонда на территории МО Колтушское </w:t>
      </w:r>
      <w:r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3933F7" w:rsidRDefault="003933F7" w:rsidP="003933F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оценка состояния ветхого жилого фонда;</w:t>
      </w:r>
    </w:p>
    <w:p w:rsidR="003933F7" w:rsidRPr="003D3C29" w:rsidRDefault="003933F7" w:rsidP="003933F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3933F7" w:rsidRPr="00DD0527" w:rsidRDefault="003933F7" w:rsidP="003933F7">
      <w:pPr>
        <w:ind w:left="426"/>
        <w:jc w:val="center"/>
        <w:rPr>
          <w:rFonts w:cs="Times New Roman"/>
          <w:b/>
          <w:szCs w:val="28"/>
        </w:rPr>
      </w:pPr>
    </w:p>
    <w:p w:rsidR="003933F7" w:rsidRPr="008A3A4F" w:rsidRDefault="003933F7" w:rsidP="003933F7">
      <w:pPr>
        <w:ind w:left="426" w:firstLine="0"/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4. Сроки и этапы реализации Программы.</w:t>
      </w:r>
    </w:p>
    <w:p w:rsidR="003933F7" w:rsidRPr="008A3A4F" w:rsidRDefault="003933F7" w:rsidP="003933F7">
      <w:pPr>
        <w:ind w:left="426" w:firstLine="0"/>
        <w:jc w:val="center"/>
        <w:rPr>
          <w:rFonts w:cs="Times New Roman"/>
          <w:szCs w:val="28"/>
        </w:rPr>
      </w:pPr>
    </w:p>
    <w:p w:rsidR="003933F7" w:rsidRPr="008A3A4F" w:rsidRDefault="003933F7" w:rsidP="003933F7">
      <w:pPr>
        <w:ind w:left="426" w:firstLine="0"/>
        <w:rPr>
          <w:rFonts w:cs="Times New Roman"/>
          <w:szCs w:val="28"/>
        </w:rPr>
      </w:pPr>
      <w:r w:rsidRPr="008A3A4F">
        <w:rPr>
          <w:rFonts w:cs="Times New Roman"/>
          <w:szCs w:val="28"/>
        </w:rPr>
        <w:t>Реализа</w:t>
      </w:r>
      <w:r>
        <w:rPr>
          <w:rFonts w:cs="Times New Roman"/>
          <w:szCs w:val="28"/>
        </w:rPr>
        <w:t>ция Программы рассчитана на 2019</w:t>
      </w:r>
      <w:r w:rsidRPr="008A3A4F">
        <w:rPr>
          <w:rFonts w:cs="Times New Roman"/>
          <w:szCs w:val="28"/>
        </w:rPr>
        <w:t xml:space="preserve"> год.</w:t>
      </w:r>
    </w:p>
    <w:p w:rsidR="003933F7" w:rsidRPr="008A3A4F" w:rsidRDefault="003933F7" w:rsidP="003933F7">
      <w:pPr>
        <w:ind w:firstLine="0"/>
        <w:rPr>
          <w:szCs w:val="28"/>
        </w:rPr>
        <w:sectPr w:rsidR="003933F7" w:rsidRPr="008A3A4F" w:rsidSect="008B6C12">
          <w:footerReference w:type="default" r:id="rId9"/>
          <w:pgSz w:w="11906" w:h="16838"/>
          <w:pgMar w:top="851" w:right="566" w:bottom="851" w:left="1418" w:header="709" w:footer="709" w:gutter="0"/>
          <w:cols w:space="708"/>
          <w:docGrid w:linePitch="381"/>
        </w:sectPr>
      </w:pPr>
    </w:p>
    <w:p w:rsidR="003933F7" w:rsidRDefault="003933F7" w:rsidP="003933F7">
      <w:pPr>
        <w:ind w:firstLine="0"/>
        <w:rPr>
          <w:b/>
          <w:bCs/>
          <w:szCs w:val="28"/>
        </w:rPr>
      </w:pPr>
    </w:p>
    <w:p w:rsidR="003933F7" w:rsidRDefault="003933F7" w:rsidP="003933F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235CC3">
        <w:rPr>
          <w:b/>
          <w:szCs w:val="28"/>
        </w:rPr>
        <w:t>Перечень основных мероприятий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C77EBA">
        <w:rPr>
          <w:b/>
          <w:szCs w:val="28"/>
        </w:rPr>
        <w:t>Ресурсное обеспечение Программы.</w:t>
      </w:r>
    </w:p>
    <w:p w:rsidR="003933F7" w:rsidRDefault="003933F7" w:rsidP="003933F7">
      <w:pPr>
        <w:ind w:firstLine="0"/>
        <w:jc w:val="both"/>
        <w:rPr>
          <w:b/>
          <w:szCs w:val="28"/>
        </w:rPr>
      </w:pPr>
    </w:p>
    <w:p w:rsidR="003933F7" w:rsidRPr="00930FC9" w:rsidRDefault="003933F7" w:rsidP="003933F7">
      <w:pPr>
        <w:ind w:firstLine="0"/>
        <w:jc w:val="both"/>
        <w:rPr>
          <w:szCs w:val="28"/>
        </w:rPr>
      </w:pPr>
      <w:r w:rsidRPr="005C2150">
        <w:rPr>
          <w:szCs w:val="28"/>
        </w:rPr>
        <w:t xml:space="preserve">     Источником финансирования Программы</w:t>
      </w:r>
      <w:r>
        <w:rPr>
          <w:szCs w:val="28"/>
        </w:rPr>
        <w:t xml:space="preserve"> являются средства бюджета МО Колтушское СП.</w:t>
      </w:r>
    </w:p>
    <w:p w:rsidR="003933F7" w:rsidRDefault="003933F7" w:rsidP="003933F7">
      <w:pPr>
        <w:ind w:firstLine="0"/>
        <w:jc w:val="center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3680"/>
        <w:gridCol w:w="1662"/>
        <w:gridCol w:w="1697"/>
        <w:gridCol w:w="1746"/>
      </w:tblGrid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2" w:type="dxa"/>
          </w:tcPr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Бюджет МО</w:t>
            </w:r>
          </w:p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(руб.)</w:t>
            </w:r>
          </w:p>
        </w:tc>
        <w:tc>
          <w:tcPr>
            <w:tcW w:w="1697" w:type="dxa"/>
          </w:tcPr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6" w:type="dxa"/>
          </w:tcPr>
          <w:p w:rsidR="003933F7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Примечание</w:t>
            </w:r>
          </w:p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9345" w:type="dxa"/>
            <w:gridSpan w:val="5"/>
          </w:tcPr>
          <w:p w:rsidR="003933F7" w:rsidRPr="00122AF9" w:rsidRDefault="003933F7" w:rsidP="00693B39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3933F7" w:rsidRPr="00122AF9" w:rsidTr="00693B39">
        <w:tc>
          <w:tcPr>
            <w:tcW w:w="9345" w:type="dxa"/>
            <w:gridSpan w:val="5"/>
          </w:tcPr>
          <w:p w:rsidR="003933F7" w:rsidRPr="00122AF9" w:rsidRDefault="003933F7" w:rsidP="00693B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2AF9">
              <w:rPr>
                <w:sz w:val="24"/>
                <w:szCs w:val="24"/>
              </w:rPr>
              <w:t>. Обследование жилищного фонда на предмет пригодности для постоянного проживания</w:t>
            </w: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Признание жилого дома аварийным  - независимая экспертиза </w:t>
            </w:r>
          </w:p>
        </w:tc>
        <w:tc>
          <w:tcPr>
            <w:tcW w:w="1662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  <w:tc>
          <w:tcPr>
            <w:tcW w:w="1697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Соглашение  о передаче полномочий по признанию жилья аварийным (МВК Всеволожского р-на Ленинградской области)</w:t>
            </w:r>
          </w:p>
        </w:tc>
        <w:tc>
          <w:tcPr>
            <w:tcW w:w="1662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  <w:tc>
          <w:tcPr>
            <w:tcW w:w="1697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9345" w:type="dxa"/>
            <w:gridSpan w:val="5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2AF9">
              <w:rPr>
                <w:sz w:val="24"/>
                <w:szCs w:val="24"/>
              </w:rPr>
              <w:t>. Переселение граждан из авариного жилищного фонда</w:t>
            </w: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Приобретение </w:t>
            </w:r>
            <w:r w:rsidRPr="0026220F">
              <w:rPr>
                <w:sz w:val="24"/>
                <w:szCs w:val="24"/>
              </w:rPr>
              <w:t>отдельных квартир для переселе</w:t>
            </w:r>
            <w:r>
              <w:rPr>
                <w:sz w:val="24"/>
                <w:szCs w:val="24"/>
              </w:rPr>
              <w:t xml:space="preserve">ния граждан из аварийного дома </w:t>
            </w:r>
            <w:r w:rsidR="00444324">
              <w:rPr>
                <w:sz w:val="24"/>
                <w:szCs w:val="24"/>
              </w:rPr>
              <w:t>(</w:t>
            </w:r>
            <w:r w:rsidRPr="002622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6220F">
              <w:rPr>
                <w:sz w:val="24"/>
                <w:szCs w:val="24"/>
              </w:rPr>
              <w:t>отдельная однокомнатная квартира и 1</w:t>
            </w:r>
            <w:r w:rsidR="00444324">
              <w:rPr>
                <w:sz w:val="24"/>
                <w:szCs w:val="24"/>
              </w:rPr>
              <w:t xml:space="preserve"> отдельная двухкомнатная кварти</w:t>
            </w:r>
            <w:r w:rsidRPr="0026220F">
              <w:rPr>
                <w:sz w:val="24"/>
                <w:szCs w:val="24"/>
              </w:rPr>
              <w:t>ра)</w:t>
            </w:r>
          </w:p>
        </w:tc>
        <w:tc>
          <w:tcPr>
            <w:tcW w:w="1662" w:type="dxa"/>
          </w:tcPr>
          <w:p w:rsidR="003933F7" w:rsidRPr="00930FC9" w:rsidRDefault="00E357D8" w:rsidP="00693B3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19 5</w:t>
            </w:r>
            <w:r w:rsidR="003933F7">
              <w:rPr>
                <w:sz w:val="24"/>
                <w:szCs w:val="24"/>
              </w:rPr>
              <w:t>00 000,00</w:t>
            </w:r>
          </w:p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Pr="00930FC9" w:rsidRDefault="003933F7" w:rsidP="00693B3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933F7" w:rsidRPr="00122AF9" w:rsidRDefault="003933F7" w:rsidP="00693B3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9345" w:type="dxa"/>
            <w:gridSpan w:val="5"/>
          </w:tcPr>
          <w:p w:rsidR="003933F7" w:rsidRPr="005247C8" w:rsidRDefault="003933F7" w:rsidP="00693B39">
            <w:pPr>
              <w:tabs>
                <w:tab w:val="left" w:pos="5940"/>
              </w:tabs>
              <w:ind w:firstLine="0"/>
              <w:rPr>
                <w:color w:val="FF0000"/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3.Субсидии гражданам на приобретение жилья</w:t>
            </w: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</w:t>
            </w:r>
            <w:r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3933F7" w:rsidRPr="00122AF9" w:rsidRDefault="003933F7" w:rsidP="00693B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270 000,00</w:t>
            </w: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930FC9" w:rsidRDefault="003933F7" w:rsidP="00693B3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</w:t>
            </w:r>
            <w:r w:rsidRPr="00122AF9">
              <w:rPr>
                <w:bCs/>
                <w:sz w:val="24"/>
                <w:szCs w:val="24"/>
              </w:rPr>
              <w:lastRenderedPageBreak/>
              <w:t>программы Ленинградской области "Обеспечение качественным жильём граждан на террит</w:t>
            </w:r>
            <w:r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3933F7" w:rsidRPr="00122AF9" w:rsidRDefault="003933F7" w:rsidP="00693B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35 000,00</w:t>
            </w: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Default="003933F7" w:rsidP="00693B3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933F7" w:rsidRPr="00930FC9" w:rsidRDefault="003933F7" w:rsidP="00693B3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3F7" w:rsidRPr="00122AF9" w:rsidTr="00693B39">
        <w:tc>
          <w:tcPr>
            <w:tcW w:w="560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0" w:type="dxa"/>
          </w:tcPr>
          <w:p w:rsidR="003933F7" w:rsidRPr="00122AF9" w:rsidRDefault="003933F7" w:rsidP="00693B3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</w:t>
            </w:r>
            <w:r>
              <w:rPr>
                <w:bCs/>
                <w:sz w:val="24"/>
                <w:szCs w:val="24"/>
              </w:rPr>
              <w:t>ории Ленинградской области"</w:t>
            </w:r>
          </w:p>
          <w:p w:rsidR="003933F7" w:rsidRPr="00122AF9" w:rsidRDefault="003933F7" w:rsidP="00693B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</w:t>
            </w:r>
          </w:p>
        </w:tc>
        <w:tc>
          <w:tcPr>
            <w:tcW w:w="1697" w:type="dxa"/>
          </w:tcPr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3933F7" w:rsidRPr="00930FC9" w:rsidRDefault="003933F7" w:rsidP="00693B3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933F7" w:rsidRPr="00122AF9" w:rsidRDefault="003933F7" w:rsidP="00693B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933F7" w:rsidRPr="00811BC0" w:rsidRDefault="003933F7" w:rsidP="003933F7">
      <w:pPr>
        <w:ind w:firstLine="0"/>
        <w:jc w:val="center"/>
        <w:rPr>
          <w:b/>
          <w:szCs w:val="28"/>
        </w:rPr>
      </w:pPr>
    </w:p>
    <w:p w:rsidR="003933F7" w:rsidRDefault="003933F7" w:rsidP="003933F7">
      <w:pPr>
        <w:ind w:firstLine="0"/>
        <w:jc w:val="center"/>
        <w:rPr>
          <w:szCs w:val="28"/>
        </w:rPr>
      </w:pPr>
    </w:p>
    <w:p w:rsidR="003933F7" w:rsidRPr="009B4521" w:rsidRDefault="003933F7" w:rsidP="003933F7">
      <w:pPr>
        <w:ind w:firstLine="0"/>
        <w:jc w:val="center"/>
        <w:rPr>
          <w:b/>
          <w:bCs/>
          <w:szCs w:val="28"/>
        </w:rPr>
      </w:pPr>
    </w:p>
    <w:p w:rsidR="003933F7" w:rsidRDefault="003933F7" w:rsidP="003933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3933F7" w:rsidSect="00930FC9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3933F7" w:rsidRPr="00D60810" w:rsidRDefault="003933F7" w:rsidP="003933F7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F7" w:rsidRDefault="003933F7" w:rsidP="003933F7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Основные меры правового регулирования Программы.</w:t>
      </w:r>
    </w:p>
    <w:p w:rsidR="003933F7" w:rsidRDefault="003933F7" w:rsidP="003933F7">
      <w:pPr>
        <w:ind w:firstLine="0"/>
        <w:jc w:val="both"/>
        <w:rPr>
          <w:szCs w:val="28"/>
        </w:rPr>
      </w:pPr>
    </w:p>
    <w:p w:rsidR="003933F7" w:rsidRDefault="003933F7" w:rsidP="003933F7">
      <w:pPr>
        <w:jc w:val="both"/>
        <w:rPr>
          <w:szCs w:val="28"/>
        </w:rPr>
      </w:pPr>
      <w:r w:rsidRPr="003B4A9D">
        <w:rPr>
          <w:szCs w:val="28"/>
        </w:rPr>
        <w:t>Меры государственного регулирования (налоговые, тарифные, кредитные меры государственного регулирования, а также государственные гарантии) в сфере реализации программы не предусмотрены.</w:t>
      </w:r>
    </w:p>
    <w:p w:rsidR="003933F7" w:rsidRPr="003B4A9D" w:rsidRDefault="003933F7" w:rsidP="003933F7">
      <w:pPr>
        <w:jc w:val="both"/>
        <w:rPr>
          <w:szCs w:val="28"/>
        </w:rPr>
      </w:pPr>
      <w:r>
        <w:rPr>
          <w:szCs w:val="28"/>
        </w:rPr>
        <w:t>Меры правового регулирования программы включают ежегодное принятие нормативных правовых актов Ленинградской области, муниципального образования Колтушское сельское поселение Всеволожского муниципального района ЛО, выполнение мероприятий по совершенствованию нормативной правовой базы и внесение изменений в действующие нормативные правовые акты, связанные с механизмом реализации мероприятий Программы.</w:t>
      </w:r>
    </w:p>
    <w:p w:rsidR="003933F7" w:rsidRDefault="003933F7" w:rsidP="003933F7">
      <w:pPr>
        <w:pStyle w:val="ConsPlusNormal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F7" w:rsidRDefault="003933F7" w:rsidP="003933F7">
      <w:pPr>
        <w:ind w:left="567" w:firstLine="426"/>
        <w:jc w:val="both"/>
        <w:rPr>
          <w:szCs w:val="28"/>
        </w:rPr>
      </w:pPr>
    </w:p>
    <w:p w:rsidR="003933F7" w:rsidRDefault="003933F7" w:rsidP="003933F7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индикаторов и показателей муниципальной Программы.</w:t>
      </w:r>
    </w:p>
    <w:p w:rsidR="003933F7" w:rsidRDefault="003933F7" w:rsidP="003933F7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843"/>
        <w:gridCol w:w="2977"/>
      </w:tblGrid>
      <w:tr w:rsidR="003933F7" w:rsidRPr="008A3A4F" w:rsidTr="00693B39">
        <w:tc>
          <w:tcPr>
            <w:tcW w:w="5415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Базовое зн</w:t>
            </w:r>
            <w:r>
              <w:rPr>
                <w:sz w:val="24"/>
                <w:szCs w:val="24"/>
              </w:rPr>
              <w:t>ачение целевого показателя, 2019</w:t>
            </w:r>
            <w:r w:rsidRPr="008A3A4F">
              <w:rPr>
                <w:sz w:val="24"/>
                <w:szCs w:val="24"/>
              </w:rPr>
              <w:t xml:space="preserve"> год</w:t>
            </w:r>
          </w:p>
        </w:tc>
      </w:tr>
      <w:tr w:rsidR="003933F7" w:rsidRPr="008A3A4F" w:rsidTr="00693B39">
        <w:tc>
          <w:tcPr>
            <w:tcW w:w="10235" w:type="dxa"/>
            <w:gridSpan w:val="3"/>
          </w:tcPr>
          <w:p w:rsidR="003933F7" w:rsidRPr="008A3A4F" w:rsidRDefault="003933F7" w:rsidP="00693B3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F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8A3A4F"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3933F7" w:rsidRPr="008A3A4F" w:rsidTr="00693B39">
        <w:tc>
          <w:tcPr>
            <w:tcW w:w="10235" w:type="dxa"/>
            <w:gridSpan w:val="3"/>
          </w:tcPr>
          <w:p w:rsidR="003933F7" w:rsidRPr="008A3A4F" w:rsidRDefault="003933F7" w:rsidP="00693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  <w:r w:rsidRPr="008A3A4F">
              <w:rPr>
                <w:sz w:val="24"/>
                <w:szCs w:val="24"/>
              </w:rPr>
              <w:t xml:space="preserve"> Снижение риска возникновения аварийных ситуаций</w:t>
            </w:r>
          </w:p>
        </w:tc>
      </w:tr>
      <w:tr w:rsidR="003933F7" w:rsidRPr="008A3A4F" w:rsidTr="00693B39">
        <w:tc>
          <w:tcPr>
            <w:tcW w:w="5415" w:type="dxa"/>
            <w:shd w:val="clear" w:color="auto" w:fill="auto"/>
          </w:tcPr>
          <w:p w:rsidR="003933F7" w:rsidRPr="008A3A4F" w:rsidRDefault="003933F7" w:rsidP="0069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3A4F">
              <w:rPr>
                <w:sz w:val="24"/>
                <w:szCs w:val="24"/>
              </w:rPr>
              <w:t>.1 кол-во обследованного жилого фонда на предмет аварийности</w:t>
            </w:r>
          </w:p>
        </w:tc>
        <w:tc>
          <w:tcPr>
            <w:tcW w:w="1843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3933F7" w:rsidRPr="008A3A4F" w:rsidRDefault="002E3953" w:rsidP="00693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33F7" w:rsidRPr="008A3A4F" w:rsidTr="00693B39">
        <w:tc>
          <w:tcPr>
            <w:tcW w:w="10235" w:type="dxa"/>
            <w:gridSpan w:val="3"/>
          </w:tcPr>
          <w:p w:rsidR="003933F7" w:rsidRPr="008A3A4F" w:rsidRDefault="003933F7" w:rsidP="00693B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</w:t>
            </w:r>
            <w:r w:rsidRPr="008A3A4F">
              <w:rPr>
                <w:sz w:val="24"/>
                <w:szCs w:val="24"/>
              </w:rPr>
              <w:t xml:space="preserve">. Переселение граждан из авариного жилищного фонда </w:t>
            </w:r>
          </w:p>
        </w:tc>
      </w:tr>
      <w:tr w:rsidR="003933F7" w:rsidRPr="008A3A4F" w:rsidTr="00693B39">
        <w:tc>
          <w:tcPr>
            <w:tcW w:w="5415" w:type="dxa"/>
            <w:shd w:val="clear" w:color="auto" w:fill="auto"/>
          </w:tcPr>
          <w:p w:rsidR="003933F7" w:rsidRPr="008A3A4F" w:rsidRDefault="003933F7" w:rsidP="0069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3A4F">
              <w:rPr>
                <w:sz w:val="24"/>
                <w:szCs w:val="24"/>
              </w:rPr>
              <w:t>.1. приобретение в муниципальную собственность жилых помещений</w:t>
            </w:r>
          </w:p>
        </w:tc>
        <w:tc>
          <w:tcPr>
            <w:tcW w:w="1843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3933F7" w:rsidRPr="008A3A4F" w:rsidRDefault="00E357D8" w:rsidP="00693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33F7" w:rsidRPr="008A3A4F" w:rsidTr="00693B39">
        <w:tc>
          <w:tcPr>
            <w:tcW w:w="10235" w:type="dxa"/>
            <w:gridSpan w:val="3"/>
            <w:shd w:val="clear" w:color="auto" w:fill="auto"/>
          </w:tcPr>
          <w:p w:rsidR="003933F7" w:rsidRPr="008A3A4F" w:rsidRDefault="003933F7" w:rsidP="00693B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3</w:t>
            </w:r>
            <w:r w:rsidRPr="008A3A4F">
              <w:rPr>
                <w:b/>
                <w:sz w:val="24"/>
                <w:szCs w:val="24"/>
              </w:rPr>
              <w:t>.</w:t>
            </w:r>
            <w:r w:rsidRPr="008A3A4F">
              <w:rPr>
                <w:sz w:val="24"/>
                <w:szCs w:val="24"/>
              </w:rPr>
              <w:t xml:space="preserve"> Субсидии гражданам на приобретение жилья</w:t>
            </w:r>
          </w:p>
        </w:tc>
      </w:tr>
      <w:tr w:rsidR="003933F7" w:rsidRPr="008A3A4F" w:rsidTr="00693B39">
        <w:tc>
          <w:tcPr>
            <w:tcW w:w="5415" w:type="dxa"/>
            <w:shd w:val="clear" w:color="auto" w:fill="auto"/>
          </w:tcPr>
          <w:p w:rsidR="003933F7" w:rsidRPr="008A3A4F" w:rsidRDefault="003933F7" w:rsidP="0069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3A4F">
              <w:rPr>
                <w:sz w:val="24"/>
                <w:szCs w:val="24"/>
              </w:rPr>
              <w:t>.1 кол-во семей получивших социальные выплаты (субсидии) на приобретение  жилья</w:t>
            </w:r>
          </w:p>
        </w:tc>
        <w:tc>
          <w:tcPr>
            <w:tcW w:w="1843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</w:p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A3A4F">
              <w:rPr>
                <w:sz w:val="24"/>
                <w:szCs w:val="24"/>
              </w:rPr>
              <w:t>т.</w:t>
            </w:r>
          </w:p>
        </w:tc>
        <w:tc>
          <w:tcPr>
            <w:tcW w:w="2977" w:type="dxa"/>
            <w:shd w:val="clear" w:color="auto" w:fill="auto"/>
          </w:tcPr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</w:p>
          <w:p w:rsidR="003933F7" w:rsidRPr="008A3A4F" w:rsidRDefault="003933F7" w:rsidP="00693B39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8</w:t>
            </w:r>
          </w:p>
        </w:tc>
      </w:tr>
    </w:tbl>
    <w:p w:rsidR="003933F7" w:rsidRPr="00273E3B" w:rsidRDefault="003933F7" w:rsidP="003933F7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3933F7" w:rsidRPr="0011589E" w:rsidTr="00693B39">
        <w:tc>
          <w:tcPr>
            <w:tcW w:w="3745" w:type="pct"/>
            <w:hideMark/>
          </w:tcPr>
          <w:p w:rsidR="003933F7" w:rsidRPr="00D60810" w:rsidRDefault="003933F7" w:rsidP="00693B39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</w:p>
        </w:tc>
      </w:tr>
    </w:tbl>
    <w:p w:rsidR="003933F7" w:rsidRDefault="003933F7" w:rsidP="003933F7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33F7" w:rsidRPr="00DE3323" w:rsidRDefault="003933F7" w:rsidP="003933F7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23">
        <w:rPr>
          <w:rFonts w:ascii="Times New Roman" w:hAnsi="Times New Roman" w:cs="Times New Roman"/>
          <w:b/>
          <w:bCs/>
          <w:sz w:val="28"/>
          <w:szCs w:val="28"/>
        </w:rPr>
        <w:t>8.  Оценка эффективности реализации программы.</w:t>
      </w:r>
    </w:p>
    <w:p w:rsidR="003933F7" w:rsidRPr="00475EDF" w:rsidRDefault="003933F7" w:rsidP="003933F7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30.10.2014г., постановлением № 248 от 27.07.2017 г., </w:t>
      </w:r>
      <w:r w:rsidRPr="00475EDF">
        <w:rPr>
          <w:rFonts w:ascii="Times New Roman" w:hAnsi="Times New Roman" w:cs="Times New Roman"/>
          <w:sz w:val="28"/>
          <w:szCs w:val="28"/>
        </w:rPr>
        <w:t xml:space="preserve">постановлением № 522 от 31.10.2018г.). </w:t>
      </w:r>
    </w:p>
    <w:p w:rsidR="003933F7" w:rsidRPr="00DE3323" w:rsidRDefault="003933F7" w:rsidP="003933F7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финансам, экономике, тарифам и ценообразованию </w:t>
      </w:r>
      <w:r w:rsidRPr="00DE3323">
        <w:rPr>
          <w:rFonts w:ascii="Times New Roman" w:hAnsi="Times New Roman" w:cs="Times New Roman"/>
          <w:sz w:val="28"/>
          <w:szCs w:val="28"/>
        </w:rPr>
        <w:lastRenderedPageBreak/>
        <w:t>администрации МО Колтушское СП.</w:t>
      </w:r>
    </w:p>
    <w:p w:rsidR="003933F7" w:rsidRPr="005F28AD" w:rsidRDefault="003933F7" w:rsidP="003933F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933F7" w:rsidRPr="00DE3323" w:rsidRDefault="003933F7" w:rsidP="003933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F7" w:rsidRPr="00DE3323" w:rsidRDefault="003933F7" w:rsidP="003933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601" w:rsidRPr="00F166A1" w:rsidRDefault="00E35601" w:rsidP="003933F7">
      <w:pPr>
        <w:ind w:left="4536" w:firstLine="0"/>
        <w:jc w:val="right"/>
        <w:rPr>
          <w:b/>
          <w:bCs/>
          <w:sz w:val="24"/>
          <w:szCs w:val="24"/>
        </w:rPr>
      </w:pPr>
    </w:p>
    <w:sectPr w:rsidR="00E35601" w:rsidRPr="00F166A1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BC" w:rsidRDefault="00DA29BC" w:rsidP="0049199F">
      <w:r>
        <w:separator/>
      </w:r>
    </w:p>
  </w:endnote>
  <w:endnote w:type="continuationSeparator" w:id="0">
    <w:p w:rsidR="00DA29BC" w:rsidRDefault="00DA29BC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F7" w:rsidRDefault="003933F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55ED">
      <w:rPr>
        <w:noProof/>
      </w:rPr>
      <w:t>4</w:t>
    </w:r>
    <w:r>
      <w:rPr>
        <w:noProof/>
      </w:rPr>
      <w:fldChar w:fldCharType="end"/>
    </w:r>
  </w:p>
  <w:p w:rsidR="003933F7" w:rsidRDefault="003933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726F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55ED">
      <w:rPr>
        <w:noProof/>
      </w:rPr>
      <w:t>11</w:t>
    </w:r>
    <w:r>
      <w:rPr>
        <w:noProof/>
      </w:rPr>
      <w:fldChar w:fldCharType="end"/>
    </w:r>
  </w:p>
  <w:p w:rsidR="0038289E" w:rsidRDefault="00A755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BC" w:rsidRDefault="00DA29BC" w:rsidP="0049199F">
      <w:r>
        <w:separator/>
      </w:r>
    </w:p>
  </w:footnote>
  <w:footnote w:type="continuationSeparator" w:id="0">
    <w:p w:rsidR="00DA29BC" w:rsidRDefault="00DA29BC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F27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370335"/>
    <w:multiLevelType w:val="hybridMultilevel"/>
    <w:tmpl w:val="E4927964"/>
    <w:lvl w:ilvl="0" w:tplc="4F2225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3"/>
  </w:num>
  <w:num w:numId="17">
    <w:abstractNumId w:val="22"/>
  </w:num>
  <w:num w:numId="18">
    <w:abstractNumId w:val="8"/>
  </w:num>
  <w:num w:numId="19">
    <w:abstractNumId w:val="12"/>
  </w:num>
  <w:num w:numId="20">
    <w:abstractNumId w:val="19"/>
  </w:num>
  <w:num w:numId="21">
    <w:abstractNumId w:val="4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2711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7A7D"/>
    <w:rsid w:val="002C34A8"/>
    <w:rsid w:val="002D2011"/>
    <w:rsid w:val="002E0684"/>
    <w:rsid w:val="002E1E8A"/>
    <w:rsid w:val="002E2930"/>
    <w:rsid w:val="002E3953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26FF"/>
    <w:rsid w:val="0037626E"/>
    <w:rsid w:val="00377FAB"/>
    <w:rsid w:val="00381479"/>
    <w:rsid w:val="00392B1A"/>
    <w:rsid w:val="003933F7"/>
    <w:rsid w:val="003A0247"/>
    <w:rsid w:val="003A1DFB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44324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3785"/>
    <w:rsid w:val="005B51C6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063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A72BF"/>
    <w:rsid w:val="006B18CB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0AC4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F05"/>
    <w:rsid w:val="009370EF"/>
    <w:rsid w:val="00937FE2"/>
    <w:rsid w:val="0094144F"/>
    <w:rsid w:val="0095082D"/>
    <w:rsid w:val="00951F78"/>
    <w:rsid w:val="009529CA"/>
    <w:rsid w:val="00956E9C"/>
    <w:rsid w:val="009661D7"/>
    <w:rsid w:val="00967C57"/>
    <w:rsid w:val="009700FC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069EB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5ED"/>
    <w:rsid w:val="00A763D3"/>
    <w:rsid w:val="00A77E83"/>
    <w:rsid w:val="00A82F7E"/>
    <w:rsid w:val="00A83630"/>
    <w:rsid w:val="00A840DC"/>
    <w:rsid w:val="00A86CAC"/>
    <w:rsid w:val="00A91ED9"/>
    <w:rsid w:val="00A92263"/>
    <w:rsid w:val="00A93317"/>
    <w:rsid w:val="00A96B38"/>
    <w:rsid w:val="00AA413F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4FAF"/>
    <w:rsid w:val="00D564B9"/>
    <w:rsid w:val="00D64CF8"/>
    <w:rsid w:val="00D7108B"/>
    <w:rsid w:val="00D71465"/>
    <w:rsid w:val="00D73ED7"/>
    <w:rsid w:val="00D74965"/>
    <w:rsid w:val="00D7551D"/>
    <w:rsid w:val="00D775E8"/>
    <w:rsid w:val="00D80A43"/>
    <w:rsid w:val="00D85332"/>
    <w:rsid w:val="00D93480"/>
    <w:rsid w:val="00D9555E"/>
    <w:rsid w:val="00D97A23"/>
    <w:rsid w:val="00DA1179"/>
    <w:rsid w:val="00DA29BC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357D8"/>
    <w:rsid w:val="00E415F3"/>
    <w:rsid w:val="00E420E0"/>
    <w:rsid w:val="00E428C3"/>
    <w:rsid w:val="00E4567B"/>
    <w:rsid w:val="00E469E1"/>
    <w:rsid w:val="00E51FE3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455F"/>
    <w:rsid w:val="00F15C92"/>
    <w:rsid w:val="00F166A1"/>
    <w:rsid w:val="00F2067F"/>
    <w:rsid w:val="00F2640F"/>
    <w:rsid w:val="00F26E00"/>
    <w:rsid w:val="00F27D11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ConsPlusTitle">
    <w:name w:val="ConsPlusTitle"/>
    <w:rsid w:val="003933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ConsPlusTitle">
    <w:name w:val="ConsPlusTitle"/>
    <w:rsid w:val="003933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BD63-8C46-46BD-A237-082650D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2019-03-18T14:17:00Z</cp:lastPrinted>
  <dcterms:created xsi:type="dcterms:W3CDTF">2019-04-01T11:22:00Z</dcterms:created>
  <dcterms:modified xsi:type="dcterms:W3CDTF">2019-04-01T11:22:00Z</dcterms:modified>
</cp:coreProperties>
</file>