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6CE" w:rsidRDefault="001176CE" w:rsidP="001176C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permStart w:id="741936489" w:edGrp="everyone"/>
      <w:permEnd w:id="741936489"/>
      <w:r>
        <w:rPr>
          <w:rFonts w:ascii="Times New Roman" w:hAnsi="Times New Roman" w:cs="Times New Roman"/>
          <w:b/>
          <w:bCs/>
          <w:szCs w:val="22"/>
        </w:rPr>
        <w:t>ОТЧЕТ</w:t>
      </w:r>
    </w:p>
    <w:p w:rsidR="001176CE" w:rsidRDefault="001176CE" w:rsidP="001176C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(ежеквартальный)</w:t>
      </w:r>
    </w:p>
    <w:p w:rsidR="001176CE" w:rsidRDefault="001176CE" w:rsidP="001176C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о достижении значения целевых показателей результативности и о расходах бюджета муниципального образования Колтушское сельского поселение Всеволожского муниципального района Ленинградской области, источником финансового обеспечения которых является субсидия из областного бюджета Ленинградской области, предоставляемая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Cs w:val="22"/>
        </w:rPr>
        <w:t xml:space="preserve">в целях </w:t>
      </w:r>
      <w:proofErr w:type="spellStart"/>
      <w:r>
        <w:rPr>
          <w:rFonts w:ascii="Times New Roman" w:hAnsi="Times New Roman" w:cs="Times New Roman"/>
          <w:b/>
          <w:bCs/>
          <w:szCs w:val="22"/>
        </w:rPr>
        <w:t>софи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Cs w:val="22"/>
        </w:rPr>
        <w:t>нансирования</w:t>
      </w:r>
      <w:proofErr w:type="spellEnd"/>
      <w:r>
        <w:rPr>
          <w:rFonts w:ascii="Times New Roman" w:hAnsi="Times New Roman" w:cs="Times New Roman"/>
          <w:b/>
          <w:bCs/>
          <w:szCs w:val="22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законом </w:t>
      </w:r>
      <w:r>
        <w:rPr>
          <w:rFonts w:ascii="Times New Roman" w:hAnsi="Times New Roman" w:cs="Times New Roman"/>
          <w:b/>
          <w:szCs w:val="22"/>
        </w:rPr>
        <w:t xml:space="preserve"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</w:t>
      </w:r>
      <w:r>
        <w:rPr>
          <w:rFonts w:ascii="Times New Roman" w:hAnsi="Times New Roman" w:cs="Times New Roman"/>
          <w:b/>
          <w:bCs/>
          <w:szCs w:val="22"/>
        </w:rPr>
        <w:t>по состоянию на 01.</w:t>
      </w:r>
      <w:r w:rsidR="00B76D62">
        <w:rPr>
          <w:rFonts w:ascii="Times New Roman" w:hAnsi="Times New Roman" w:cs="Times New Roman"/>
          <w:b/>
          <w:bCs/>
          <w:szCs w:val="22"/>
        </w:rPr>
        <w:t>10</w:t>
      </w:r>
      <w:r>
        <w:rPr>
          <w:rFonts w:ascii="Times New Roman" w:hAnsi="Times New Roman" w:cs="Times New Roman"/>
          <w:b/>
          <w:bCs/>
          <w:szCs w:val="22"/>
        </w:rPr>
        <w:t xml:space="preserve">.2018 года </w:t>
      </w:r>
    </w:p>
    <w:p w:rsidR="001176CE" w:rsidRDefault="001176CE" w:rsidP="001176C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(нарастающим итогом)</w:t>
      </w:r>
    </w:p>
    <w:p w:rsidR="001176CE" w:rsidRDefault="001176CE" w:rsidP="001176CE">
      <w:pPr>
        <w:pStyle w:val="ConsPlusNormal"/>
        <w:rPr>
          <w:rFonts w:ascii="Times New Roman" w:hAnsi="Times New Roman" w:cs="Times New Roman"/>
          <w:b/>
          <w:bCs/>
        </w:rPr>
      </w:pPr>
    </w:p>
    <w:tbl>
      <w:tblPr>
        <w:tblW w:w="1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559"/>
        <w:gridCol w:w="1276"/>
        <w:gridCol w:w="972"/>
        <w:gridCol w:w="1134"/>
        <w:gridCol w:w="993"/>
        <w:gridCol w:w="1013"/>
        <w:gridCol w:w="917"/>
        <w:gridCol w:w="992"/>
        <w:gridCol w:w="874"/>
        <w:gridCol w:w="969"/>
        <w:gridCol w:w="992"/>
        <w:gridCol w:w="1109"/>
      </w:tblGrid>
      <w:tr w:rsidR="001176CE" w:rsidTr="001176CE">
        <w:trPr>
          <w:trHeight w:val="133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CE" w:rsidRDefault="001176CE" w:rsidP="001176CE">
            <w:pPr>
              <w:pStyle w:val="ConsPlusNormal"/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CE" w:rsidRDefault="001176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CE" w:rsidRDefault="001176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CE" w:rsidRDefault="001176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об объемах финансирования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CE" w:rsidRDefault="001176CE" w:rsidP="00B76D6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01.</w:t>
            </w:r>
            <w:r w:rsidR="00B76D62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.2018 (нарастающим итогом)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CE" w:rsidRDefault="001176CE" w:rsidP="001176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за последний квартал 2018 года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CE" w:rsidRDefault="001176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Неиспользованный остаток межбюджетного трансферта (рублей)</w:t>
            </w:r>
          </w:p>
        </w:tc>
      </w:tr>
      <w:tr w:rsidR="001176CE" w:rsidTr="001176CE">
        <w:trPr>
          <w:trHeight w:val="211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E" w:rsidRDefault="001176CE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E" w:rsidRDefault="001176CE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E" w:rsidRDefault="001176CE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CE" w:rsidRDefault="001176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CE" w:rsidRDefault="001176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CE" w:rsidRDefault="001176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CE" w:rsidRDefault="001176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CE" w:rsidRDefault="001176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CE" w:rsidRDefault="001176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CE" w:rsidRDefault="001176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CE" w:rsidRDefault="001176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CE" w:rsidRDefault="001176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E" w:rsidRDefault="001176CE">
            <w:pPr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1176CE" w:rsidTr="001176CE">
        <w:trPr>
          <w:trHeight w:val="3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CE" w:rsidRDefault="001176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CE" w:rsidRDefault="001176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CE" w:rsidRDefault="001176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CE" w:rsidRDefault="001176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CE" w:rsidRDefault="001176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CE" w:rsidRDefault="001176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CE" w:rsidRDefault="001176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CE" w:rsidRDefault="001176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CE" w:rsidRDefault="001176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CE" w:rsidRDefault="001176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CE" w:rsidRDefault="001176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CE" w:rsidRDefault="001176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CE" w:rsidRDefault="001176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1176CE" w:rsidTr="001176CE">
        <w:trPr>
          <w:trHeight w:val="3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CE" w:rsidRDefault="005B4DE7" w:rsidP="007E4B29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D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Ремонт внутренней дорожной сети в населенных пунктах: д. </w:t>
            </w:r>
            <w:proofErr w:type="spellStart"/>
            <w:r w:rsidRPr="005B4DE7">
              <w:rPr>
                <w:rFonts w:ascii="Times New Roman" w:hAnsi="Times New Roman" w:cs="Times New Roman"/>
                <w:bCs/>
                <w:sz w:val="18"/>
                <w:szCs w:val="18"/>
              </w:rPr>
              <w:t>Колбино</w:t>
            </w:r>
            <w:proofErr w:type="spellEnd"/>
            <w:r w:rsidRPr="005B4D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местечко Карьер </w:t>
            </w:r>
            <w:proofErr w:type="spellStart"/>
            <w:r w:rsidRPr="005B4DE7">
              <w:rPr>
                <w:rFonts w:ascii="Times New Roman" w:hAnsi="Times New Roman" w:cs="Times New Roman"/>
                <w:bCs/>
                <w:sz w:val="18"/>
                <w:szCs w:val="18"/>
              </w:rPr>
              <w:t>Мяглово</w:t>
            </w:r>
            <w:proofErr w:type="spellEnd"/>
            <w:r w:rsidRPr="005B4D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д. Красная Горка, д. </w:t>
            </w:r>
            <w:proofErr w:type="spellStart"/>
            <w:r w:rsidRPr="005B4DE7">
              <w:rPr>
                <w:rFonts w:ascii="Times New Roman" w:hAnsi="Times New Roman" w:cs="Times New Roman"/>
                <w:bCs/>
                <w:sz w:val="18"/>
                <w:szCs w:val="18"/>
              </w:rPr>
              <w:t>Хязельки</w:t>
            </w:r>
            <w:proofErr w:type="spellEnd"/>
            <w:r w:rsidRPr="005B4D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д. Озерки, д. </w:t>
            </w:r>
            <w:proofErr w:type="spellStart"/>
            <w:r w:rsidRPr="005B4DE7">
              <w:rPr>
                <w:rFonts w:ascii="Times New Roman" w:hAnsi="Times New Roman" w:cs="Times New Roman"/>
                <w:bCs/>
                <w:sz w:val="18"/>
                <w:szCs w:val="18"/>
              </w:rPr>
              <w:t>Ексолово</w:t>
            </w:r>
            <w:proofErr w:type="spellEnd"/>
            <w:r w:rsidRPr="005B4D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д. </w:t>
            </w:r>
            <w:proofErr w:type="spellStart"/>
            <w:r w:rsidRPr="005B4DE7">
              <w:rPr>
                <w:rFonts w:ascii="Times New Roman" w:hAnsi="Times New Roman" w:cs="Times New Roman"/>
                <w:bCs/>
                <w:sz w:val="18"/>
                <w:szCs w:val="18"/>
              </w:rPr>
              <w:t>Канисты</w:t>
            </w:r>
            <w:proofErr w:type="spellEnd"/>
            <w:r w:rsidRPr="005B4D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д. Старая Пустошь, д. Новая Пустошь, д. </w:t>
            </w:r>
            <w:proofErr w:type="spellStart"/>
            <w:r w:rsidRPr="005B4DE7">
              <w:rPr>
                <w:rFonts w:ascii="Times New Roman" w:hAnsi="Times New Roman" w:cs="Times New Roman"/>
                <w:bCs/>
                <w:sz w:val="18"/>
                <w:szCs w:val="18"/>
              </w:rPr>
              <w:t>Воейково</w:t>
            </w:r>
            <w:proofErr w:type="spellEnd"/>
            <w:r w:rsidRPr="005B4D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д. </w:t>
            </w:r>
            <w:proofErr w:type="spellStart"/>
            <w:r w:rsidRPr="005B4DE7">
              <w:rPr>
                <w:rFonts w:ascii="Times New Roman" w:hAnsi="Times New Roman" w:cs="Times New Roman"/>
                <w:bCs/>
                <w:sz w:val="18"/>
                <w:szCs w:val="18"/>
              </w:rPr>
              <w:t>Вирки</w:t>
            </w:r>
            <w:proofErr w:type="spellEnd"/>
            <w:r w:rsidRPr="005B4D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д. Старая, д. </w:t>
            </w:r>
            <w:proofErr w:type="spellStart"/>
            <w:r w:rsidRPr="005B4DE7">
              <w:rPr>
                <w:rFonts w:ascii="Times New Roman" w:hAnsi="Times New Roman" w:cs="Times New Roman"/>
                <w:bCs/>
                <w:sz w:val="18"/>
                <w:szCs w:val="18"/>
              </w:rPr>
              <w:t>Манушкино</w:t>
            </w:r>
            <w:proofErr w:type="spellEnd"/>
            <w:r w:rsidRPr="005B4D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д. </w:t>
            </w:r>
            <w:proofErr w:type="spellStart"/>
            <w:r w:rsidRPr="005B4DE7">
              <w:rPr>
                <w:rFonts w:ascii="Times New Roman" w:hAnsi="Times New Roman" w:cs="Times New Roman"/>
                <w:bCs/>
                <w:sz w:val="18"/>
                <w:szCs w:val="18"/>
              </w:rPr>
              <w:t>Тавры</w:t>
            </w:r>
            <w:proofErr w:type="spellEnd"/>
            <w:r w:rsidRPr="005B4D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д. </w:t>
            </w:r>
            <w:proofErr w:type="spellStart"/>
            <w:r w:rsidRPr="005B4DE7">
              <w:rPr>
                <w:rFonts w:ascii="Times New Roman" w:hAnsi="Times New Roman" w:cs="Times New Roman"/>
                <w:bCs/>
                <w:sz w:val="18"/>
                <w:szCs w:val="18"/>
              </w:rPr>
              <w:t>Аро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CE" w:rsidRDefault="001176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B4DE7" w:rsidRDefault="005B4DE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B4DE7" w:rsidRDefault="00CF4536" w:rsidP="00CF453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CF4536">
              <w:rPr>
                <w:rFonts w:ascii="Times New Roman" w:hAnsi="Times New Roman" w:cs="Times New Roman"/>
                <w:bCs/>
                <w:sz w:val="18"/>
                <w:szCs w:val="18"/>
              </w:rPr>
              <w:t>7654,00</w:t>
            </w:r>
            <w:r w:rsidR="005B4DE7"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CE" w:rsidRDefault="005B4DE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CE" w:rsidRDefault="00710FC0" w:rsidP="00722F6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2 478 66</w:t>
            </w:r>
            <w:r w:rsidR="00722F62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CE" w:rsidRDefault="00710F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2 230 796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CE" w:rsidRDefault="00710FC0" w:rsidP="00710F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710FC0">
              <w:rPr>
                <w:rFonts w:ascii="Times New Roman" w:hAnsi="Times New Roman" w:cs="Times New Roman"/>
                <w:bCs/>
                <w:sz w:val="18"/>
                <w:szCs w:val="18"/>
              </w:rPr>
              <w:t>47 867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CE" w:rsidRDefault="00722F6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CE" w:rsidRDefault="00722F6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CE" w:rsidRDefault="00722F6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CE" w:rsidRDefault="00722F6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CE" w:rsidRDefault="00722F6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CE" w:rsidRDefault="00722F6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CE" w:rsidRDefault="00710F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0FC0">
              <w:rPr>
                <w:rFonts w:ascii="Times New Roman" w:hAnsi="Times New Roman" w:cs="Times New Roman"/>
                <w:bCs/>
                <w:sz w:val="18"/>
                <w:szCs w:val="18"/>
              </w:rPr>
              <w:t>2 230 796</w:t>
            </w:r>
          </w:p>
        </w:tc>
      </w:tr>
      <w:tr w:rsidR="00B45ADB" w:rsidTr="001176CE">
        <w:trPr>
          <w:trHeight w:val="3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B" w:rsidRPr="00E31754" w:rsidRDefault="00B45AD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Ремонт уличного освещения в д. </w:t>
            </w:r>
            <w:proofErr w:type="spellStart"/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Орово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B" w:rsidRPr="00E31754" w:rsidRDefault="00CF453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 опор, 9 светильников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B" w:rsidRPr="00E31754" w:rsidRDefault="00CF453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4536">
              <w:rPr>
                <w:rFonts w:ascii="Times New Roman" w:hAnsi="Times New Roman" w:cs="Times New Roman"/>
                <w:bCs/>
                <w:sz w:val="18"/>
                <w:szCs w:val="18"/>
              </w:rPr>
              <w:t>9 опор, 9 светильников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B" w:rsidRPr="00E31754" w:rsidRDefault="00160F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222 216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B" w:rsidRPr="00E31754" w:rsidRDefault="00B45ADB" w:rsidP="00160F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  <w:r w:rsidR="00160FA6">
              <w:rPr>
                <w:rFonts w:ascii="Times New Roman" w:hAnsi="Times New Roman" w:cs="Times New Roman"/>
                <w:bCs/>
                <w:sz w:val="18"/>
                <w:szCs w:val="18"/>
              </w:rPr>
              <w:t>9 994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B" w:rsidRPr="00E31754" w:rsidRDefault="00B45ADB" w:rsidP="00160F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160FA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60FA6">
              <w:rPr>
                <w:rFonts w:ascii="Times New Roman" w:hAnsi="Times New Roman" w:cs="Times New Roman"/>
                <w:bCs/>
                <w:sz w:val="18"/>
                <w:szCs w:val="18"/>
              </w:rPr>
              <w:t>222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B" w:rsidRPr="00E31754" w:rsidRDefault="00B45ADB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215 400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B" w:rsidRPr="00E31754" w:rsidRDefault="00B45ADB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193 860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B" w:rsidRPr="00E31754" w:rsidRDefault="00B45ADB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B" w:rsidRPr="00E31754" w:rsidRDefault="00B45ADB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215 400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B" w:rsidRPr="00E31754" w:rsidRDefault="00B45ADB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193 860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B" w:rsidRPr="00E31754" w:rsidRDefault="00B45ADB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B" w:rsidRPr="00E31754" w:rsidRDefault="00B45AD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6 134</w:t>
            </w:r>
          </w:p>
        </w:tc>
      </w:tr>
      <w:tr w:rsidR="00E31754" w:rsidTr="001176CE">
        <w:trPr>
          <w:trHeight w:val="3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4" w:rsidRPr="00E31754" w:rsidRDefault="00E3175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Изготовление информационного стенда и табличек с </w:t>
            </w: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нумерацией домов, названием улиц в д. </w:t>
            </w:r>
            <w:proofErr w:type="spellStart"/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Лиголамби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4" w:rsidRPr="00E31754" w:rsidRDefault="00E3175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стенд – 1</w:t>
            </w:r>
          </w:p>
          <w:p w:rsidR="00E31754" w:rsidRPr="00E31754" w:rsidRDefault="00E31754" w:rsidP="005B4DE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таблички - 27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36" w:rsidRPr="00CF4536" w:rsidRDefault="00CF4536" w:rsidP="00CF453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4536">
              <w:rPr>
                <w:rFonts w:ascii="Times New Roman" w:hAnsi="Times New Roman" w:cs="Times New Roman"/>
                <w:bCs/>
                <w:sz w:val="18"/>
                <w:szCs w:val="18"/>
              </w:rPr>
              <w:t>стенд – 1</w:t>
            </w:r>
          </w:p>
          <w:p w:rsidR="00E31754" w:rsidRPr="00E31754" w:rsidRDefault="00CF4536" w:rsidP="00CF453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4536">
              <w:rPr>
                <w:rFonts w:ascii="Times New Roman" w:hAnsi="Times New Roman" w:cs="Times New Roman"/>
                <w:bCs/>
                <w:sz w:val="18"/>
                <w:szCs w:val="18"/>
              </w:rPr>
              <w:t>таблички - 27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  <w:r w:rsidR="00B45A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  <w:r w:rsidR="00B45A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B45A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  <w:r w:rsidR="00B45A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  <w:r w:rsidR="00B45A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B45A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  <w:r w:rsidR="00B45A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  <w:r w:rsidR="00B45A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B45A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E31754" w:rsidTr="001176CE">
        <w:trPr>
          <w:trHeight w:val="3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4" w:rsidRPr="00E31754" w:rsidRDefault="00E3175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Изготовление информационных стендов д. </w:t>
            </w:r>
            <w:proofErr w:type="spellStart"/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Мяглово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4" w:rsidRPr="00E31754" w:rsidRDefault="00E3175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Стенд с картой деревни -2 </w:t>
            </w:r>
            <w:proofErr w:type="spellStart"/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шт</w:t>
            </w:r>
            <w:proofErr w:type="spellEnd"/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, стенд для размещения информации – 3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4" w:rsidRPr="00E31754" w:rsidRDefault="00E3175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754" w:rsidRPr="00E31754" w:rsidRDefault="00E3175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754" w:rsidRPr="00E31754" w:rsidRDefault="00E3175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754" w:rsidRPr="00E31754" w:rsidRDefault="00E3175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  <w:r w:rsidR="00B45A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41</w:t>
            </w:r>
            <w:r w:rsidR="00B45A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B45A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590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75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754" w:rsidRPr="00E31754" w:rsidRDefault="00E31754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754" w:rsidRPr="00E31754" w:rsidRDefault="00465613" w:rsidP="007B79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41 310</w:t>
            </w:r>
          </w:p>
        </w:tc>
      </w:tr>
      <w:tr w:rsidR="001176CE" w:rsidTr="001176CE">
        <w:trPr>
          <w:trHeight w:val="3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CE" w:rsidRDefault="001176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CE" w:rsidRDefault="001176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CE" w:rsidRDefault="001176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CE" w:rsidRDefault="00B617AA" w:rsidP="00160F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160FA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</w:t>
            </w:r>
            <w:r w:rsidR="00160FA6">
              <w:rPr>
                <w:rFonts w:ascii="Times New Roman" w:hAnsi="Times New Roman" w:cs="Times New Roman"/>
                <w:bCs/>
                <w:sz w:val="18"/>
                <w:szCs w:val="18"/>
              </w:rPr>
              <w:t>7 779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CE" w:rsidRDefault="00710FC0" w:rsidP="00160F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160FA6">
              <w:rPr>
                <w:rFonts w:ascii="Times New Roman" w:hAnsi="Times New Roman" w:cs="Times New Roman"/>
                <w:bCs/>
                <w:sz w:val="18"/>
                <w:szCs w:val="18"/>
              </w:rPr>
              <w:t> 500 000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CE" w:rsidRDefault="00B617AA" w:rsidP="00160F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277 </w:t>
            </w:r>
            <w:r w:rsidR="00160FA6">
              <w:rPr>
                <w:rFonts w:ascii="Times New Roman" w:hAnsi="Times New Roman" w:cs="Times New Roman"/>
                <w:bCs/>
                <w:sz w:val="18"/>
                <w:szCs w:val="18"/>
              </w:rPr>
              <w:t>779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CE" w:rsidRDefault="005247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246 400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CE" w:rsidRDefault="005247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221 760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CE" w:rsidRDefault="005247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24 640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CE" w:rsidRDefault="005247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47BF">
              <w:rPr>
                <w:rFonts w:ascii="Times New Roman" w:hAnsi="Times New Roman" w:cs="Times New Roman"/>
                <w:bCs/>
                <w:sz w:val="18"/>
                <w:szCs w:val="18"/>
              </w:rPr>
              <w:t>246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247BF">
              <w:rPr>
                <w:rFonts w:ascii="Times New Roman" w:hAnsi="Times New Roman" w:cs="Times New Roman"/>
                <w:bCs/>
                <w:sz w:val="18"/>
                <w:szCs w:val="18"/>
              </w:rPr>
              <w:t>400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CE" w:rsidRDefault="005247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221 760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CE" w:rsidRDefault="005247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47BF">
              <w:rPr>
                <w:rFonts w:ascii="Times New Roman" w:hAnsi="Times New Roman" w:cs="Times New Roman"/>
                <w:bCs/>
                <w:sz w:val="18"/>
                <w:szCs w:val="18"/>
              </w:rPr>
              <w:t>24 640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CE" w:rsidRDefault="00710FC0" w:rsidP="003814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160FA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="005247BF"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  <w:r w:rsidR="00381460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160F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81460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</w:tr>
    </w:tbl>
    <w:p w:rsidR="001176CE" w:rsidRDefault="001176CE" w:rsidP="001176CE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7285"/>
        <w:gridCol w:w="7393"/>
      </w:tblGrid>
      <w:tr w:rsidR="001176CE" w:rsidTr="00AA5290">
        <w:tc>
          <w:tcPr>
            <w:tcW w:w="7285" w:type="dxa"/>
            <w:hideMark/>
          </w:tcPr>
          <w:p w:rsidR="00722F62" w:rsidRDefault="00722F6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Временно исполняющий обязанности </w:t>
            </w:r>
          </w:p>
          <w:p w:rsidR="001176CE" w:rsidRPr="00AA5290" w:rsidRDefault="00722F6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1176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лава администрации  поселения:      _________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="0034185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А.В. Ко</w:t>
            </w:r>
            <w:r w:rsidR="00AA529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марницкая</w:t>
            </w:r>
          </w:p>
          <w:p w:rsidR="001176CE" w:rsidRDefault="001176C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(подпись)     (фамилия, инициалы)</w:t>
            </w:r>
          </w:p>
          <w:p w:rsidR="00722F62" w:rsidRDefault="00722F6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2F62" w:rsidRDefault="00722F6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5290" w:rsidRDefault="00AA529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5290" w:rsidRDefault="00AA529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5290" w:rsidRDefault="00AA529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5290" w:rsidRDefault="00AA529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76CE" w:rsidRPr="00873E87" w:rsidRDefault="001176C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Исполнитель:                           </w:t>
            </w:r>
            <w:r w:rsidR="00873E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И.Н. Мясников____</w:t>
            </w:r>
          </w:p>
          <w:p w:rsidR="001176CE" w:rsidRDefault="00873E8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8-813-70-71-750</w:t>
            </w:r>
            <w:r w:rsidR="001176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 w:rsidR="001176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(фамилия, инициалы)</w:t>
            </w:r>
          </w:p>
          <w:p w:rsidR="001176CE" w:rsidRDefault="001176C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(номер телефона)</w:t>
            </w:r>
          </w:p>
        </w:tc>
        <w:tc>
          <w:tcPr>
            <w:tcW w:w="7393" w:type="dxa"/>
          </w:tcPr>
          <w:p w:rsidR="001176CE" w:rsidRDefault="00117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76CE" w:rsidRPr="00A958C9" w:rsidRDefault="001176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176CE" w:rsidRDefault="001176CE" w:rsidP="001176CE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1799A" w:rsidRDefault="00D1799A"/>
    <w:sectPr w:rsidR="00D1799A" w:rsidSect="001176C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41F"/>
    <w:rsid w:val="001176CE"/>
    <w:rsid w:val="00160FA6"/>
    <w:rsid w:val="0034185A"/>
    <w:rsid w:val="00381460"/>
    <w:rsid w:val="00465613"/>
    <w:rsid w:val="005247BF"/>
    <w:rsid w:val="00531BF3"/>
    <w:rsid w:val="005B4DE7"/>
    <w:rsid w:val="00710FC0"/>
    <w:rsid w:val="00722F62"/>
    <w:rsid w:val="00793C19"/>
    <w:rsid w:val="007E4B29"/>
    <w:rsid w:val="00812A2D"/>
    <w:rsid w:val="00873E87"/>
    <w:rsid w:val="0090341F"/>
    <w:rsid w:val="009D2DA7"/>
    <w:rsid w:val="00A07B76"/>
    <w:rsid w:val="00A958C9"/>
    <w:rsid w:val="00AA5290"/>
    <w:rsid w:val="00B07708"/>
    <w:rsid w:val="00B327E1"/>
    <w:rsid w:val="00B45ADB"/>
    <w:rsid w:val="00B617AA"/>
    <w:rsid w:val="00B76D62"/>
    <w:rsid w:val="00C03053"/>
    <w:rsid w:val="00CF4536"/>
    <w:rsid w:val="00D1799A"/>
    <w:rsid w:val="00D617D6"/>
    <w:rsid w:val="00E3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B455"/>
  <w15:docId w15:val="{F7874E34-8FA2-4303-B0ED-DE00B240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6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1176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User2742</cp:lastModifiedBy>
  <cp:revision>23</cp:revision>
  <cp:lastPrinted>2018-10-02T13:05:00Z</cp:lastPrinted>
  <dcterms:created xsi:type="dcterms:W3CDTF">2018-03-29T07:28:00Z</dcterms:created>
  <dcterms:modified xsi:type="dcterms:W3CDTF">2018-10-03T10:29:00Z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