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0F" w:rsidRDefault="00AD660F" w:rsidP="00AD660F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623ACD" w:rsidRPr="00AD660F" w:rsidRDefault="00623ACD" w:rsidP="00AD660F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60F" w:rsidRPr="00AD660F" w:rsidRDefault="00AD660F" w:rsidP="00AD660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8008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12</w:t>
      </w:r>
      <w:r w:rsidRPr="00AD66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8008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декабря</w:t>
      </w:r>
      <w:r w:rsidRPr="00AD66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2017 года аукциона по продаже </w:t>
      </w:r>
      <w:r w:rsidRPr="00AD6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AD660F" w:rsidRPr="00AD660F" w:rsidRDefault="00AD660F" w:rsidP="00AD660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 с кадастровым номером 47:09:0</w:t>
      </w:r>
      <w:r w:rsidR="0080088F">
        <w:rPr>
          <w:rFonts w:ascii="Times New Roman" w:eastAsia="Courier New" w:hAnsi="Times New Roman" w:cs="Courier New"/>
          <w:sz w:val="28"/>
          <w:szCs w:val="28"/>
          <w:lang w:eastAsia="en-US"/>
        </w:rPr>
        <w:t>107002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80088F">
        <w:rPr>
          <w:rFonts w:ascii="Times New Roman" w:eastAsia="Courier New" w:hAnsi="Times New Roman" w:cs="Courier New"/>
          <w:sz w:val="28"/>
          <w:szCs w:val="28"/>
          <w:lang w:eastAsia="en-US"/>
        </w:rPr>
        <w:t>41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8008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970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>кв</w:t>
      </w:r>
      <w:proofErr w:type="gramStart"/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индивидуальное жилищное строительство, расположенного по адресу: Ленинградская область, Всеволожский муниципальный район, Колтушское сельское поселение, дер. </w:t>
      </w:r>
      <w:r w:rsidR="0080088F">
        <w:rPr>
          <w:rFonts w:ascii="Times New Roman" w:eastAsia="Courier New" w:hAnsi="Times New Roman" w:cs="Courier New"/>
          <w:sz w:val="28"/>
          <w:szCs w:val="28"/>
          <w:lang w:eastAsia="en-US"/>
        </w:rPr>
        <w:t>Бор, пер. Грибной, уч. 3а</w:t>
      </w:r>
    </w:p>
    <w:p w:rsidR="00AD660F" w:rsidRPr="00AD660F" w:rsidRDefault="00AD660F" w:rsidP="00AD660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80088F">
        <w:rPr>
          <w:rFonts w:ascii="Times New Roman" w:eastAsia="Times New Roman" w:hAnsi="Times New Roman" w:cs="Times New Roman"/>
          <w:sz w:val="28"/>
          <w:szCs w:val="28"/>
          <w:lang w:eastAsia="en-US"/>
        </w:rPr>
        <w:t>95 кв</w:t>
      </w:r>
      <w:proofErr w:type="gramStart"/>
      <w:r w:rsidR="0080088F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gramEnd"/>
      <w:r w:rsidR="008008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ограничения прав на земельный участок, предусмотренные статьями 56,56.1 Земельного кодекса Российской Федерации. </w:t>
      </w:r>
      <w:r w:rsidR="00B20D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установлении охранной зоны предусматриваются определенные ограничения использования территории, которые регламентируются «Правилами охраны электрических сетей напряжением свыше 1000 вольт» утвержденным Постановлением Правительства РФ от 24.02.2009 г. №160.47.09.2.44.  Справка о балансовой принадлежности от 03.03.2015 № </w:t>
      </w:r>
      <w:proofErr w:type="spellStart"/>
      <w:r w:rsidR="00B20D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ПрЭС</w:t>
      </w:r>
      <w:proofErr w:type="spellEnd"/>
      <w:r w:rsidR="00B20D30">
        <w:rPr>
          <w:rFonts w:ascii="Times New Roman" w:eastAsia="Times New Roman" w:hAnsi="Times New Roman" w:cs="Times New Roman"/>
          <w:sz w:val="28"/>
          <w:szCs w:val="28"/>
          <w:lang w:eastAsia="en-US"/>
        </w:rPr>
        <w:t>/038/1315-9</w:t>
      </w:r>
    </w:p>
    <w:bookmarkEnd w:id="0"/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1159C2" w:rsidRPr="00AD660F" w:rsidRDefault="001159C2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письму №00-03/4056 от 06.06.2017 г. АО «ЛОЭСК» присоединение запрашиваемой нагрузки к электрическим сетям АО «ЛОЭСК принципиально возможно путем строительства ЛЭП 6кВ, установки новой ТП-6/0,4 кВ, а так же распределительной сети 0,4кВ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от 14.06.2017 №4</w:t>
      </w:r>
      <w:r w:rsidR="001159C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техническая возможность подключения (технологического присоединения) объекта капитального строительства к сетям водоснабжения и водоотведения – отсутствует.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от </w:t>
      </w:r>
      <w:r w:rsidR="001159C2">
        <w:rPr>
          <w:rFonts w:ascii="Times New Roman" w:eastAsia="Times New Roman" w:hAnsi="Times New Roman" w:cs="Times New Roman"/>
          <w:sz w:val="28"/>
          <w:szCs w:val="28"/>
        </w:rPr>
        <w:t>24.05.2017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159C2">
        <w:rPr>
          <w:rFonts w:ascii="Times New Roman" w:eastAsia="Times New Roman" w:hAnsi="Times New Roman" w:cs="Times New Roman"/>
          <w:sz w:val="28"/>
          <w:szCs w:val="28"/>
        </w:rPr>
        <w:t xml:space="preserve">АА-20/2/3490/07 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«О технической возможности подключения» подключение объекта капитального </w:t>
      </w:r>
      <w:proofErr w:type="gramStart"/>
      <w:r w:rsidRPr="00AD660F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</w:t>
      </w:r>
      <w:r w:rsidR="000F247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 w:rsidR="001159C2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газораспределения </w:t>
      </w:r>
      <w:r w:rsidR="001159C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давления, </w:t>
      </w:r>
      <w:r w:rsidR="001159C2">
        <w:rPr>
          <w:rFonts w:ascii="Times New Roman" w:eastAsia="Times New Roman" w:hAnsi="Times New Roman" w:cs="Times New Roman"/>
          <w:sz w:val="28"/>
          <w:szCs w:val="28"/>
        </w:rPr>
        <w:t>проходящих по территории д. Бор Всеволожского района.</w:t>
      </w:r>
    </w:p>
    <w:p w:rsidR="00AD660F" w:rsidRPr="00EE6047" w:rsidRDefault="00AD660F" w:rsidP="00EE60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</w:t>
      </w:r>
      <w:r w:rsidR="00EE6047" w:rsidRPr="00EE6047">
        <w:rPr>
          <w:rFonts w:ascii="Times New Roman" w:eastAsia="Times New Roman" w:hAnsi="Times New Roman" w:cs="Times New Roman"/>
          <w:sz w:val="28"/>
          <w:szCs w:val="28"/>
        </w:rPr>
        <w:t xml:space="preserve"> не установлен</w:t>
      </w:r>
      <w:r w:rsidRPr="00EE60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047" w:rsidRPr="00EE60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планом земельного участка № RU47504313-651 </w:t>
      </w:r>
      <w:r w:rsidRPr="00EE6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047" w:rsidRPr="00EE6047">
        <w:rPr>
          <w:rFonts w:ascii="Times New Roman" w:eastAsia="Times New Roman" w:hAnsi="Times New Roman" w:cs="Times New Roman"/>
          <w:sz w:val="28"/>
          <w:szCs w:val="28"/>
        </w:rPr>
        <w:t xml:space="preserve">предельное </w:t>
      </w:r>
      <w:r w:rsidRPr="00EE6047">
        <w:rPr>
          <w:rFonts w:ascii="Times New Roman" w:eastAsia="Times New Roman" w:hAnsi="Times New Roman" w:cs="Times New Roman"/>
          <w:sz w:val="28"/>
          <w:szCs w:val="28"/>
        </w:rPr>
        <w:t xml:space="preserve"> количество эта</w:t>
      </w:r>
      <w:r w:rsidR="00EE6047">
        <w:rPr>
          <w:rFonts w:ascii="Times New Roman" w:eastAsia="Times New Roman" w:hAnsi="Times New Roman" w:cs="Times New Roman"/>
          <w:sz w:val="28"/>
          <w:szCs w:val="28"/>
        </w:rPr>
        <w:t>жей – 3, максимальный процент застройки в границах земельного участка 30%</w:t>
      </w:r>
      <w:r w:rsidR="00350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60F" w:rsidRPr="00EE6047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AD660F" w:rsidRPr="00EE6047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047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– 2 </w:t>
      </w:r>
      <w:r w:rsidR="00EE6047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EE6047">
        <w:rPr>
          <w:rFonts w:ascii="Times New Roman" w:eastAsia="Times New Roman" w:hAnsi="Times New Roman" w:cs="Times New Roman"/>
          <w:sz w:val="28"/>
          <w:szCs w:val="28"/>
        </w:rPr>
        <w:t xml:space="preserve"> 000(два миллиона) рублей 00 копеек (определена на</w:t>
      </w:r>
      <w:proofErr w:type="gramEnd"/>
      <w:r w:rsidRPr="00EE6047">
        <w:rPr>
          <w:rFonts w:ascii="Times New Roman" w:eastAsia="Times New Roman" w:hAnsi="Times New Roman" w:cs="Times New Roman"/>
          <w:sz w:val="28"/>
          <w:szCs w:val="28"/>
        </w:rPr>
        <w:t xml:space="preserve"> основании отчета № </w:t>
      </w:r>
      <w:r w:rsidR="00EE6047">
        <w:rPr>
          <w:rFonts w:ascii="Times New Roman" w:eastAsia="Times New Roman" w:hAnsi="Times New Roman" w:cs="Times New Roman"/>
          <w:sz w:val="28"/>
          <w:szCs w:val="28"/>
        </w:rPr>
        <w:t>1161/9-1-17</w:t>
      </w:r>
      <w:proofErr w:type="gramStart"/>
      <w:r w:rsidR="00EE6047">
        <w:rPr>
          <w:rFonts w:ascii="Times New Roman" w:eastAsia="Times New Roman" w:hAnsi="Times New Roman" w:cs="Times New Roman"/>
          <w:sz w:val="28"/>
          <w:szCs w:val="28"/>
        </w:rPr>
        <w:t>/А</w:t>
      </w:r>
      <w:proofErr w:type="gramEnd"/>
      <w:r w:rsidR="00EE6047">
        <w:rPr>
          <w:rFonts w:ascii="Times New Roman" w:eastAsia="Times New Roman" w:hAnsi="Times New Roman" w:cs="Times New Roman"/>
          <w:sz w:val="28"/>
          <w:szCs w:val="28"/>
        </w:rPr>
        <w:t xml:space="preserve"> от 09.11.2017г</w:t>
      </w:r>
      <w:r w:rsidRPr="00EE60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660F" w:rsidRPr="00EE6047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 2 </w:t>
      </w:r>
      <w:r w:rsidR="00EE6047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EE6047">
        <w:rPr>
          <w:rFonts w:ascii="Times New Roman" w:eastAsia="Times New Roman" w:hAnsi="Times New Roman" w:cs="Times New Roman"/>
          <w:sz w:val="28"/>
          <w:szCs w:val="28"/>
        </w:rPr>
        <w:t xml:space="preserve"> 000 (два миллиона)  рублей 00 копеек.</w:t>
      </w:r>
    </w:p>
    <w:p w:rsidR="00AD660F" w:rsidRPr="00EE6047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EE6047">
        <w:rPr>
          <w:rFonts w:ascii="Times New Roman" w:eastAsia="Times New Roman" w:hAnsi="Times New Roman" w:cs="Times New Roman"/>
          <w:sz w:val="28"/>
          <w:szCs w:val="28"/>
        </w:rPr>
        <w:t>60 000</w:t>
      </w:r>
      <w:r w:rsidRPr="00EE60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6047">
        <w:rPr>
          <w:rFonts w:ascii="Times New Roman" w:eastAsia="Times New Roman" w:hAnsi="Times New Roman" w:cs="Times New Roman"/>
          <w:sz w:val="28"/>
          <w:szCs w:val="28"/>
        </w:rPr>
        <w:t>шестьдесят тысяч</w:t>
      </w:r>
      <w:r w:rsidRPr="00EE6047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AD660F" w:rsidRPr="00EE6047" w:rsidRDefault="00AD660F" w:rsidP="00AD660F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47">
        <w:rPr>
          <w:rFonts w:ascii="Times New Roman" w:eastAsia="Times New Roman" w:hAnsi="Times New Roman" w:cs="Times New Roman"/>
          <w:sz w:val="28"/>
          <w:szCs w:val="28"/>
        </w:rPr>
        <w:t>Участниками аукциона могут являться только граждане.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EE6047">
        <w:rPr>
          <w:rFonts w:ascii="Times New Roman" w:eastAsia="Times New Roman" w:hAnsi="Times New Roman" w:cs="Times New Roman"/>
          <w:sz w:val="28"/>
          <w:szCs w:val="28"/>
        </w:rPr>
        <w:t xml:space="preserve">Критерий определения победителя - 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участник аукциона, предложивший наибольшую цену за земельный участок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8F099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17.10.2017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8F099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2811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AD660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AD660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</w:t>
      </w:r>
      <w:r w:rsidR="008F099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099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ноября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 рабочим дням             с 10 часов 00 минут до 13 часов 00 минут и с 14 часов 00 минут до 16 часов 30 минут,  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по адресу: Ленинградская область, г. Всеволожск, микрорайон «Южный», ул. 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Невская</w:t>
      </w:r>
      <w:proofErr w:type="gram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 д. 10, окно № 6. Дата и время окончания приема заявок – 16 часов 30 минут </w:t>
      </w:r>
      <w:r w:rsidR="008F099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099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года.</w:t>
      </w:r>
    </w:p>
    <w:p w:rsidR="00D75C33" w:rsidRPr="00393369" w:rsidRDefault="00AD660F" w:rsidP="00D75C33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Задатки </w:t>
      </w:r>
      <w:r w:rsidRPr="00D75C3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должны поступить не позднее 11 часов 00 минут </w:t>
      </w:r>
      <w:r w:rsidR="008F0998" w:rsidRPr="00D75C33">
        <w:rPr>
          <w:rFonts w:ascii="Times New Roman" w:eastAsia="Courier New" w:hAnsi="Times New Roman" w:cs="Courier New"/>
          <w:sz w:val="28"/>
          <w:szCs w:val="24"/>
          <w:lang w:eastAsia="en-US"/>
        </w:rPr>
        <w:t>8 декабря</w:t>
      </w:r>
      <w:r w:rsidRPr="00D75C3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2017 года  на расчетный счет Организатора торгов: </w:t>
      </w:r>
      <w:r w:rsidR="00D75C33" w:rsidRPr="00D75C3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БИК 044106001, ИНН 4703083640, КПП 470301001, </w:t>
      </w:r>
      <w:proofErr w:type="spellStart"/>
      <w:r w:rsidR="00D75C33" w:rsidRPr="00D75C33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D75C33" w:rsidRPr="00D75C3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D75C33" w:rsidRPr="00D75C33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D75C33" w:rsidRPr="00D75C3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</w:t>
      </w:r>
      <w:r w:rsidR="00D75C33"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60F" w:rsidRPr="00D75C33" w:rsidRDefault="00AD660F" w:rsidP="00AD660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D75C3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 Организатора торгов).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623ACD" w:rsidRPr="00623ACD" w:rsidRDefault="00AD660F" w:rsidP="00623A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623A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 w:rsidR="00623ACD" w:rsidRPr="00623ACD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en-US"/>
        </w:rPr>
        <w:t xml:space="preserve">Задаток аукцион </w:t>
      </w:r>
      <w:r w:rsidR="00623ACD" w:rsidRPr="00623ACD">
        <w:rPr>
          <w:rFonts w:ascii="Times New Roman" w:eastAsia="Courier New" w:hAnsi="Times New Roman" w:cs="Courier New"/>
          <w:b/>
          <w:sz w:val="28"/>
          <w:szCs w:val="28"/>
          <w:u w:val="single"/>
          <w:lang w:eastAsia="en-US"/>
        </w:rPr>
        <w:t>47:09:0107002:41</w:t>
      </w:r>
      <w:r w:rsidR="00623ACD" w:rsidRPr="00623ACD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en-US"/>
        </w:rPr>
        <w:t>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D75C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ноября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 </w:t>
      </w:r>
      <w:r w:rsidR="00D75C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 декабря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в рабочие дни, в согласованное с организатором аукциона время. Телефон для согласования осмотра 8 (81370) 41-353.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</w:t>
      </w:r>
      <w:r w:rsidR="00D75C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декабря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в 11 часов 00 минут  по адресу: Ленинградская область,                        г. Всеволожск, микрорайон «Южный», ул. 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Невская</w:t>
      </w:r>
      <w:proofErr w:type="gram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д. 10, </w:t>
      </w:r>
      <w:proofErr w:type="spell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09 часов 30 минут  до 10 часов 00 минут </w:t>
      </w:r>
      <w:r w:rsidR="00D75C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декабря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   адресу:  Ленинградская область, г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.В</w:t>
      </w:r>
      <w:proofErr w:type="gram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севоложск, микрорайон «Южный», ул. Невская, д.10, </w:t>
      </w:r>
      <w:proofErr w:type="spell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10 часов 00 минут  </w:t>
      </w:r>
      <w:r w:rsidR="00D75C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декабря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 адресу: Ленинградская область, г. Всеволожск, микрорайон «Южный», ул. 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Невская</w:t>
      </w:r>
      <w:proofErr w:type="gram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д. 10, </w:t>
      </w:r>
      <w:proofErr w:type="spell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6. Подведение итогов аукциона - по тому же адресу </w:t>
      </w:r>
      <w:r w:rsidR="00D75C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декабря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после окончания аукциона.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D660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AD660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AD660F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заявка подана лицом, не уполномоченным претендентом на осуществление таких действий;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AD66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AD66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AD66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D6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микрорайон «Южный», ул. </w:t>
      </w:r>
      <w:proofErr w:type="gramStart"/>
      <w:r w:rsidRPr="00AD6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Невская</w:t>
      </w:r>
      <w:proofErr w:type="gramEnd"/>
      <w:r w:rsidRPr="00AD6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10, окно № 6, тел. 8 (81370) 41-353.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D660F" w:rsidRDefault="00AD660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22" w:rsidRDefault="00053022" w:rsidP="00A64576">
      <w:pPr>
        <w:spacing w:after="0" w:line="240" w:lineRule="auto"/>
      </w:pPr>
      <w:r>
        <w:separator/>
      </w:r>
    </w:p>
  </w:endnote>
  <w:endnote w:type="continuationSeparator" w:id="1">
    <w:p w:rsidR="00053022" w:rsidRDefault="00053022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22" w:rsidRDefault="00053022" w:rsidP="00A64576">
      <w:pPr>
        <w:spacing w:after="0" w:line="240" w:lineRule="auto"/>
      </w:pPr>
      <w:r>
        <w:separator/>
      </w:r>
    </w:p>
  </w:footnote>
  <w:footnote w:type="continuationSeparator" w:id="1">
    <w:p w:rsidR="00053022" w:rsidRDefault="00053022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3022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47F"/>
    <w:rsid w:val="000F2EA7"/>
    <w:rsid w:val="001010DB"/>
    <w:rsid w:val="00113E26"/>
    <w:rsid w:val="001159C2"/>
    <w:rsid w:val="001232E3"/>
    <w:rsid w:val="00133724"/>
    <w:rsid w:val="001344D6"/>
    <w:rsid w:val="00165117"/>
    <w:rsid w:val="00181B5C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078D"/>
    <w:rsid w:val="002324FE"/>
    <w:rsid w:val="00233DF7"/>
    <w:rsid w:val="00234911"/>
    <w:rsid w:val="00243FC9"/>
    <w:rsid w:val="00252D0C"/>
    <w:rsid w:val="00254EE3"/>
    <w:rsid w:val="002553FA"/>
    <w:rsid w:val="00265C84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15812"/>
    <w:rsid w:val="00320850"/>
    <w:rsid w:val="00321C2E"/>
    <w:rsid w:val="0032694F"/>
    <w:rsid w:val="003351E5"/>
    <w:rsid w:val="003436CD"/>
    <w:rsid w:val="00346988"/>
    <w:rsid w:val="00350199"/>
    <w:rsid w:val="00350722"/>
    <w:rsid w:val="00370BEA"/>
    <w:rsid w:val="003727DA"/>
    <w:rsid w:val="00380AA4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3BE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3ACD"/>
    <w:rsid w:val="00625E48"/>
    <w:rsid w:val="006262CF"/>
    <w:rsid w:val="006309FA"/>
    <w:rsid w:val="00632A6F"/>
    <w:rsid w:val="00634DF5"/>
    <w:rsid w:val="00642F91"/>
    <w:rsid w:val="00651B52"/>
    <w:rsid w:val="00660588"/>
    <w:rsid w:val="00660869"/>
    <w:rsid w:val="00663C11"/>
    <w:rsid w:val="006678D2"/>
    <w:rsid w:val="00667C3B"/>
    <w:rsid w:val="0067036B"/>
    <w:rsid w:val="00675643"/>
    <w:rsid w:val="00676F20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088F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0998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D660F"/>
    <w:rsid w:val="00AE2231"/>
    <w:rsid w:val="00AE69B3"/>
    <w:rsid w:val="00B01E7E"/>
    <w:rsid w:val="00B123F7"/>
    <w:rsid w:val="00B125D9"/>
    <w:rsid w:val="00B15B93"/>
    <w:rsid w:val="00B1710C"/>
    <w:rsid w:val="00B20D30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0D38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5C33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1A8E"/>
    <w:rsid w:val="00ED5807"/>
    <w:rsid w:val="00EE3BE6"/>
    <w:rsid w:val="00EE6047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6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15</cp:revision>
  <cp:lastPrinted>2017-11-09T05:57:00Z</cp:lastPrinted>
  <dcterms:created xsi:type="dcterms:W3CDTF">2017-07-11T13:04:00Z</dcterms:created>
  <dcterms:modified xsi:type="dcterms:W3CDTF">2017-11-09T06:51:00Z</dcterms:modified>
</cp:coreProperties>
</file>